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D05981" w:rsidRPr="00242F28" w:rsidRDefault="00ED1644" w:rsidP="00386E07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 xml:space="preserve">о </w:t>
      </w:r>
      <w:r w:rsidR="00386E07">
        <w:rPr>
          <w:b/>
          <w:bCs/>
          <w:sz w:val="24"/>
          <w:szCs w:val="24"/>
        </w:rPr>
        <w:t xml:space="preserve">проведении общего собрания акционеров эмитента и о </w:t>
      </w:r>
      <w:r w:rsidR="00242F28" w:rsidRPr="00242F28">
        <w:rPr>
          <w:b/>
          <w:bCs/>
          <w:sz w:val="24"/>
          <w:szCs w:val="24"/>
        </w:rPr>
        <w:t xml:space="preserve">принятых </w:t>
      </w:r>
      <w:r w:rsidR="00386E07">
        <w:rPr>
          <w:b/>
          <w:bCs/>
          <w:sz w:val="24"/>
          <w:szCs w:val="24"/>
        </w:rPr>
        <w:t>им решениях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 w:rsidTr="00AB6C79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9F2C8E" w:rsidRPr="00BA715A" w:rsidRDefault="009F2C8E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5409E8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5409E8" w:rsidRPr="005409E8">
              <w:rPr>
                <w:bCs/>
                <w:sz w:val="24"/>
                <w:szCs w:val="24"/>
              </w:rPr>
              <w:t xml:space="preserve">Вид общего собрания </w:t>
            </w:r>
            <w:r w:rsidR="005409E8">
              <w:rPr>
                <w:bCs/>
                <w:sz w:val="24"/>
                <w:szCs w:val="24"/>
              </w:rPr>
              <w:t>акционеров</w:t>
            </w:r>
            <w:r w:rsidR="005409E8" w:rsidRPr="005409E8">
              <w:rPr>
                <w:bCs/>
                <w:sz w:val="24"/>
                <w:szCs w:val="24"/>
              </w:rPr>
              <w:t xml:space="preserve"> эмитента</w:t>
            </w:r>
            <w:r w:rsidR="005409E8">
              <w:rPr>
                <w:bCs/>
                <w:sz w:val="24"/>
                <w:szCs w:val="24"/>
              </w:rPr>
              <w:t xml:space="preserve">: </w:t>
            </w:r>
            <w:r w:rsidR="005409E8" w:rsidRPr="005409E8">
              <w:rPr>
                <w:b/>
                <w:bCs/>
                <w:i/>
                <w:sz w:val="24"/>
                <w:szCs w:val="24"/>
              </w:rPr>
              <w:t>внеочередное</w:t>
            </w:r>
          </w:p>
          <w:p w:rsidR="005409E8" w:rsidRPr="005409E8" w:rsidRDefault="000B40FB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2.2. </w:t>
            </w:r>
            <w:r w:rsidR="005409E8" w:rsidRPr="005409E8">
              <w:rPr>
                <w:bCs/>
                <w:sz w:val="24"/>
                <w:szCs w:val="24"/>
              </w:rPr>
              <w:t xml:space="preserve">Форма проведения общего собрания </w:t>
            </w:r>
            <w:r w:rsidR="005409E8">
              <w:rPr>
                <w:bCs/>
                <w:sz w:val="24"/>
                <w:szCs w:val="24"/>
              </w:rPr>
              <w:t>акционеров</w:t>
            </w:r>
            <w:r w:rsidR="005409E8" w:rsidRPr="005409E8">
              <w:rPr>
                <w:bCs/>
                <w:sz w:val="24"/>
                <w:szCs w:val="24"/>
              </w:rPr>
              <w:t xml:space="preserve"> эмитента</w:t>
            </w:r>
            <w:r w:rsidR="005409E8">
              <w:rPr>
                <w:bCs/>
                <w:sz w:val="24"/>
                <w:szCs w:val="24"/>
              </w:rPr>
              <w:t xml:space="preserve">:  </w:t>
            </w:r>
            <w:r w:rsidR="005409E8" w:rsidRPr="005409E8">
              <w:rPr>
                <w:b/>
                <w:bCs/>
                <w:i/>
                <w:sz w:val="24"/>
                <w:szCs w:val="24"/>
              </w:rPr>
              <w:t>заочное голосование</w:t>
            </w:r>
          </w:p>
          <w:p w:rsid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Д</w:t>
            </w:r>
            <w:r w:rsidRPr="005409E8">
              <w:rPr>
                <w:sz w:val="24"/>
                <w:szCs w:val="24"/>
              </w:rPr>
              <w:t xml:space="preserve">ата, место, время проведения общего собрания </w:t>
            </w:r>
            <w:r>
              <w:rPr>
                <w:sz w:val="24"/>
                <w:szCs w:val="24"/>
              </w:rPr>
              <w:t>акционеров</w:t>
            </w:r>
            <w:r w:rsidRPr="005409E8">
              <w:rPr>
                <w:sz w:val="24"/>
                <w:szCs w:val="24"/>
              </w:rPr>
              <w:t xml:space="preserve"> эмитента</w:t>
            </w:r>
            <w:r>
              <w:rPr>
                <w:sz w:val="24"/>
                <w:szCs w:val="24"/>
              </w:rPr>
              <w:t>:</w:t>
            </w:r>
          </w:p>
          <w:p w:rsidR="005409E8" w:rsidRPr="00CA4AF6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sz w:val="24"/>
                <w:szCs w:val="24"/>
              </w:rPr>
            </w:pPr>
            <w:r w:rsidRPr="00CA4AF6">
              <w:rPr>
                <w:b/>
                <w:sz w:val="24"/>
                <w:szCs w:val="24"/>
              </w:rPr>
              <w:t>- «</w:t>
            </w:r>
            <w:r w:rsidRPr="00CA4AF6">
              <w:rPr>
                <w:b/>
                <w:i/>
                <w:sz w:val="24"/>
                <w:szCs w:val="24"/>
              </w:rPr>
              <w:t>10» июня 2016 года</w:t>
            </w:r>
          </w:p>
          <w:p w:rsid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CA4AF6">
              <w:rPr>
                <w:b/>
                <w:i/>
                <w:sz w:val="24"/>
                <w:szCs w:val="24"/>
              </w:rPr>
              <w:t>- Почтовый адрес, по которому направлялись заполненные бюллетени для голосования: 111033, г. Москва, ул. Золоторожский вал, д. 11.</w:t>
            </w:r>
          </w:p>
          <w:p w:rsidR="00B34366" w:rsidRPr="00CA4AF6" w:rsidRDefault="00B34366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34366">
              <w:rPr>
                <w:b/>
                <w:i/>
                <w:sz w:val="24"/>
                <w:szCs w:val="24"/>
              </w:rPr>
              <w:t>Дата окончания приема бюллетеней для голосования: «10» июня 2016 г.</w:t>
            </w:r>
          </w:p>
          <w:p w:rsid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К</w:t>
            </w:r>
            <w:r w:rsidRPr="005409E8">
              <w:rPr>
                <w:sz w:val="24"/>
                <w:szCs w:val="24"/>
              </w:rPr>
              <w:t>ворум общего собрания участников (акционеров) эмитента</w:t>
            </w:r>
            <w:r>
              <w:rPr>
                <w:sz w:val="24"/>
                <w:szCs w:val="24"/>
              </w:rPr>
              <w:t xml:space="preserve">: </w:t>
            </w:r>
          </w:p>
          <w:p w:rsidR="005409E8" w:rsidRP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5409E8">
              <w:rPr>
                <w:b/>
                <w:i/>
                <w:sz w:val="24"/>
                <w:szCs w:val="24"/>
              </w:rPr>
              <w:t xml:space="preserve">К определению кворума приняты </w:t>
            </w:r>
            <w:bookmarkStart w:id="1" w:name="Соб_АкцКворум"/>
            <w:r w:rsidRPr="005409E8">
              <w:rPr>
                <w:b/>
                <w:i/>
                <w:sz w:val="24"/>
                <w:szCs w:val="24"/>
              </w:rPr>
              <w:t>1 532 422  64/121</w:t>
            </w:r>
            <w:bookmarkEnd w:id="1"/>
            <w:r w:rsidRPr="005409E8">
              <w:rPr>
                <w:b/>
                <w:i/>
                <w:sz w:val="24"/>
                <w:szCs w:val="24"/>
              </w:rPr>
              <w:t xml:space="preserve"> (</w:t>
            </w:r>
            <w:bookmarkStart w:id="2" w:name="Соб_АкцКворум_Пр"/>
            <w:r w:rsidRPr="005409E8">
              <w:rPr>
                <w:b/>
                <w:i/>
                <w:sz w:val="24"/>
                <w:szCs w:val="24"/>
              </w:rPr>
              <w:t>Один миллион пятьсот тридцать две тысячи четыреста двадцать две и 64/121</w:t>
            </w:r>
            <w:bookmarkEnd w:id="2"/>
            <w:r w:rsidRPr="005409E8">
              <w:rPr>
                <w:b/>
                <w:i/>
                <w:sz w:val="24"/>
                <w:szCs w:val="24"/>
              </w:rPr>
              <w:t xml:space="preserve">)  штук голосующих акций Общества, в том числе обыкновенных акций </w:t>
            </w:r>
            <w:bookmarkStart w:id="3" w:name="Соб_АкцКворумАО"/>
            <w:r w:rsidRPr="005409E8">
              <w:rPr>
                <w:b/>
                <w:i/>
                <w:sz w:val="24"/>
                <w:szCs w:val="24"/>
              </w:rPr>
              <w:t>1 532 422  64/121</w:t>
            </w:r>
            <w:bookmarkEnd w:id="3"/>
            <w:r w:rsidRPr="005409E8">
              <w:rPr>
                <w:b/>
                <w:i/>
                <w:sz w:val="24"/>
                <w:szCs w:val="24"/>
              </w:rPr>
              <w:t xml:space="preserve"> (</w:t>
            </w:r>
            <w:bookmarkStart w:id="4" w:name="Соб_АкцКворумАО_Пр"/>
            <w:r w:rsidRPr="005409E8">
              <w:rPr>
                <w:b/>
                <w:i/>
                <w:sz w:val="24"/>
                <w:szCs w:val="24"/>
              </w:rPr>
              <w:t>Один миллион пятьсот тридцать две тысячи четыреста двадцать две и 64/121</w:t>
            </w:r>
            <w:bookmarkEnd w:id="4"/>
            <w:r w:rsidRPr="005409E8">
              <w:rPr>
                <w:b/>
                <w:i/>
                <w:sz w:val="24"/>
                <w:szCs w:val="24"/>
              </w:rPr>
              <w:t>), предоставляющих право голоса по всем вопросам компетенции общего собрания.</w:t>
            </w:r>
          </w:p>
          <w:p w:rsid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5409E8">
              <w:rPr>
                <w:b/>
                <w:i/>
                <w:sz w:val="24"/>
                <w:szCs w:val="24"/>
              </w:rPr>
              <w:t xml:space="preserve">В собрании  приняли участие  </w:t>
            </w:r>
            <w:bookmarkStart w:id="5" w:name="Соб_ЗЛЗарег"/>
            <w:r w:rsidRPr="005409E8">
              <w:rPr>
                <w:b/>
                <w:i/>
                <w:sz w:val="24"/>
                <w:szCs w:val="24"/>
              </w:rPr>
              <w:t>55</w:t>
            </w:r>
            <w:bookmarkEnd w:id="5"/>
            <w:r w:rsidRPr="005409E8">
              <w:rPr>
                <w:b/>
                <w:i/>
                <w:sz w:val="24"/>
                <w:szCs w:val="24"/>
              </w:rPr>
              <w:t xml:space="preserve"> акционеров (и их уполномоченных представителей), обладающих в совокупности </w:t>
            </w:r>
            <w:bookmarkStart w:id="6" w:name="Соб_АкцЗарег"/>
            <w:r w:rsidRPr="005409E8">
              <w:rPr>
                <w:b/>
                <w:i/>
                <w:sz w:val="24"/>
                <w:szCs w:val="24"/>
              </w:rPr>
              <w:t>1 397 955</w:t>
            </w:r>
            <w:bookmarkEnd w:id="6"/>
            <w:r w:rsidRPr="005409E8">
              <w:rPr>
                <w:b/>
                <w:i/>
                <w:sz w:val="24"/>
                <w:szCs w:val="24"/>
              </w:rPr>
              <w:t xml:space="preserve"> голосующими акциями, что составляет </w:t>
            </w:r>
            <w:bookmarkStart w:id="7" w:name="Соб_ПроцАкцЗарег"/>
            <w:r w:rsidRPr="005409E8">
              <w:rPr>
                <w:b/>
                <w:i/>
                <w:sz w:val="24"/>
                <w:szCs w:val="24"/>
              </w:rPr>
              <w:t>91.2252</w:t>
            </w:r>
            <w:bookmarkEnd w:id="7"/>
            <w:r w:rsidRPr="005409E8">
              <w:rPr>
                <w:b/>
                <w:i/>
                <w:sz w:val="24"/>
                <w:szCs w:val="24"/>
              </w:rPr>
              <w:t xml:space="preserve"> </w:t>
            </w:r>
            <w:r w:rsidRPr="005409E8">
              <w:rPr>
                <w:b/>
                <w:bCs/>
                <w:i/>
                <w:sz w:val="24"/>
                <w:szCs w:val="24"/>
              </w:rPr>
              <w:t>%</w:t>
            </w:r>
            <w:r w:rsidRPr="005409E8">
              <w:rPr>
                <w:b/>
                <w:i/>
                <w:sz w:val="24"/>
                <w:szCs w:val="24"/>
              </w:rPr>
              <w:t xml:space="preserve"> от общего числа голосующих акций Общества, принятых к определению кворума.</w:t>
            </w:r>
          </w:p>
          <w:p w:rsidR="00B34366" w:rsidRPr="005409E8" w:rsidRDefault="00B34366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34366">
              <w:rPr>
                <w:b/>
                <w:i/>
                <w:sz w:val="24"/>
                <w:szCs w:val="24"/>
              </w:rPr>
              <w:t>В соответствии с п. 1 ст. 58 Федерального закона «Об акционерных обществах» внеочередное Общее собрание акционеров правомочно (кворум имеется).</w:t>
            </w:r>
          </w:p>
          <w:p w:rsid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П</w:t>
            </w:r>
            <w:r w:rsidRPr="005409E8">
              <w:rPr>
                <w:sz w:val="24"/>
                <w:szCs w:val="24"/>
              </w:rPr>
              <w:t>овестка дня общего собрания участников (акционеров) эмитента</w:t>
            </w:r>
            <w:r>
              <w:rPr>
                <w:sz w:val="24"/>
                <w:szCs w:val="24"/>
              </w:rPr>
              <w:t>:</w:t>
            </w:r>
          </w:p>
          <w:p w:rsidR="005409E8" w:rsidRP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520739">
              <w:rPr>
                <w:b/>
                <w:i/>
                <w:sz w:val="24"/>
                <w:szCs w:val="24"/>
              </w:rPr>
              <w:t>1</w:t>
            </w:r>
            <w:r w:rsidRPr="005409E8">
              <w:rPr>
                <w:b/>
                <w:i/>
                <w:sz w:val="24"/>
                <w:szCs w:val="24"/>
              </w:rPr>
              <w:t>. Об одобрении крупной сделки Общества.</w:t>
            </w:r>
          </w:p>
          <w:p w:rsidR="005409E8" w:rsidRP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5409E8">
              <w:rPr>
                <w:b/>
                <w:i/>
                <w:sz w:val="24"/>
                <w:szCs w:val="24"/>
              </w:rPr>
              <w:t>2. Об одобрении сделки Общества, в совершении которой имеется заинтересованность</w:t>
            </w:r>
            <w:r w:rsidRPr="005409E8">
              <w:rPr>
                <w:sz w:val="24"/>
                <w:szCs w:val="24"/>
              </w:rPr>
              <w:t>.</w:t>
            </w:r>
          </w:p>
          <w:p w:rsid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Р</w:t>
            </w:r>
            <w:r w:rsidRPr="005409E8">
              <w:rPr>
                <w:sz w:val="24"/>
                <w:szCs w:val="24"/>
              </w:rPr>
              <w:t>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акционеров эмитента по указанным вопросам</w:t>
            </w:r>
            <w:r>
              <w:rPr>
                <w:sz w:val="24"/>
                <w:szCs w:val="24"/>
              </w:rPr>
              <w:t>:</w:t>
            </w:r>
          </w:p>
          <w:p w:rsidR="00DA0DED" w:rsidRPr="00B95C31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95C31">
              <w:rPr>
                <w:b/>
                <w:i/>
                <w:sz w:val="24"/>
                <w:szCs w:val="24"/>
              </w:rPr>
              <w:t>Итоги голосования по первому вопросу повестки дня:</w:t>
            </w:r>
          </w:p>
          <w:p w:rsidR="004A0851" w:rsidRPr="004A0851" w:rsidRDefault="004A0851" w:rsidP="004A0851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bookmarkStart w:id="8" w:name="В001_ФормПравилоПринРеш"/>
            <w:r w:rsidRPr="004A0851">
              <w:rPr>
                <w:i/>
                <w:sz w:val="24"/>
                <w:szCs w:val="24"/>
              </w:rPr>
              <w:t>В соответствии с п.3 ст. 79 ФЗ «Об акционерных обществах» решение по первому вопросу повестки дня принимается большинством в три четверти голосов акционеров - владельцев голосующих акций Общества, принимающих участие в собрании.</w:t>
            </w:r>
            <w:bookmarkEnd w:id="8"/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1"/>
              <w:gridCol w:w="2693"/>
              <w:gridCol w:w="4448"/>
            </w:tblGrid>
            <w:tr w:rsidR="00DA0DED" w:rsidRPr="00DA0DED" w:rsidTr="004A0851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i/>
                      <w:sz w:val="22"/>
                      <w:szCs w:val="22"/>
                    </w:rPr>
                  </w:pPr>
                  <w:r w:rsidRPr="00BE6246">
                    <w:rPr>
                      <w:i/>
                      <w:sz w:val="22"/>
                      <w:szCs w:val="22"/>
                    </w:rPr>
                    <w:t>Количество голосов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i/>
                      <w:sz w:val="22"/>
                      <w:szCs w:val="22"/>
                    </w:rPr>
                  </w:pPr>
                  <w:r w:rsidRPr="00BE6246">
                    <w:rPr>
                      <w:i/>
                      <w:sz w:val="22"/>
                      <w:szCs w:val="22"/>
                    </w:rPr>
                    <w:t>Процент от числа голосов, которыми по данному вопросу обладали лица, принявшие участие в общем собрании</w:t>
                  </w:r>
                </w:p>
              </w:tc>
            </w:tr>
            <w:tr w:rsidR="00DA0DED" w:rsidRPr="00DA0DED" w:rsidTr="004A0851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i/>
                      <w:sz w:val="22"/>
                      <w:szCs w:val="22"/>
                    </w:rPr>
                  </w:pPr>
                  <w:r w:rsidRPr="00BE6246">
                    <w:rPr>
                      <w:i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b/>
                      <w:i/>
                      <w:sz w:val="22"/>
                      <w:szCs w:val="22"/>
                    </w:rPr>
                    <w:t xml:space="preserve">1 396 992 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b/>
                      <w:i/>
                      <w:sz w:val="22"/>
                      <w:szCs w:val="22"/>
                    </w:rPr>
                    <w:t>99,9311</w:t>
                  </w:r>
                </w:p>
              </w:tc>
            </w:tr>
            <w:tr w:rsidR="00DA0DED" w:rsidRPr="00DA0DED" w:rsidTr="004A0851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i/>
                      <w:sz w:val="22"/>
                      <w:szCs w:val="22"/>
                    </w:rPr>
                  </w:pPr>
                  <w:r w:rsidRPr="00BE6246">
                    <w:rPr>
                      <w:i/>
                      <w:sz w:val="22"/>
                      <w:szCs w:val="22"/>
                    </w:rPr>
                    <w:lastRenderedPageBreak/>
                    <w:t>«ПРОТИВ»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b/>
                      <w:i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b/>
                      <w:i/>
                      <w:sz w:val="22"/>
                      <w:szCs w:val="22"/>
                    </w:rPr>
                    <w:t>0,0060</w:t>
                  </w:r>
                </w:p>
              </w:tc>
            </w:tr>
            <w:tr w:rsidR="00DA0DED" w:rsidRPr="00DA0DED" w:rsidTr="004A0851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i/>
                      <w:sz w:val="22"/>
                      <w:szCs w:val="22"/>
                    </w:rPr>
                  </w:pPr>
                  <w:r w:rsidRPr="00BE6246">
                    <w:rPr>
                      <w:i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b/>
                      <w:i/>
                      <w:sz w:val="22"/>
                      <w:szCs w:val="22"/>
                    </w:rPr>
                    <w:t>854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tabs>
                      <w:tab w:val="left" w:pos="284"/>
                      <w:tab w:val="left" w:pos="709"/>
                    </w:tabs>
                    <w:jc w:val="both"/>
                    <w:rPr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b/>
                      <w:i/>
                      <w:sz w:val="22"/>
                      <w:szCs w:val="22"/>
                    </w:rPr>
                    <w:t>0,0611</w:t>
                  </w:r>
                </w:p>
              </w:tc>
            </w:tr>
          </w:tbl>
          <w:p w:rsidR="00DA0DED" w:rsidRPr="00B95C31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95C31">
              <w:rPr>
                <w:i/>
                <w:sz w:val="24"/>
                <w:szCs w:val="24"/>
              </w:rPr>
              <w:t xml:space="preserve">Число голосов по первому вопросу повестки дня общего собрания, которые не подсчитывались в связи с признанием бюллетеней недействительными: </w:t>
            </w:r>
            <w:r w:rsidRPr="00B95C31">
              <w:rPr>
                <w:b/>
                <w:i/>
                <w:sz w:val="24"/>
                <w:szCs w:val="24"/>
              </w:rPr>
              <w:t>25</w:t>
            </w:r>
            <w:r w:rsidR="00B95C31">
              <w:rPr>
                <w:i/>
                <w:sz w:val="24"/>
                <w:szCs w:val="24"/>
              </w:rPr>
              <w:t xml:space="preserve">. </w:t>
            </w:r>
          </w:p>
          <w:p w:rsidR="00DA0DED" w:rsidRPr="00DA0DED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A0DED">
              <w:rPr>
                <w:b/>
                <w:i/>
                <w:sz w:val="24"/>
                <w:szCs w:val="24"/>
              </w:rPr>
              <w:t>По первому вопросу повестки дня принято решение:</w:t>
            </w:r>
          </w:p>
          <w:p w:rsidR="00DA0DED" w:rsidRPr="00DA0DED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DA0DED">
              <w:rPr>
                <w:i/>
                <w:sz w:val="24"/>
                <w:szCs w:val="24"/>
              </w:rPr>
              <w:t>Одобрить крупную сделку ОАО «СиМ СТ», связанную с заключением Кредитного договора с Акционерным коммерческим банком «Банк Москвы» (открытое акционерное общество) на следующих условиях.</w:t>
            </w:r>
          </w:p>
          <w:p w:rsidR="00DA0DED" w:rsidRPr="00DA0DED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DA0DED">
              <w:rPr>
                <w:i/>
                <w:sz w:val="24"/>
                <w:szCs w:val="24"/>
              </w:rPr>
              <w:t>Общество «Заемщик»</w:t>
            </w:r>
          </w:p>
          <w:p w:rsidR="00DA0DED" w:rsidRPr="00DA0DED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DA0DED">
              <w:rPr>
                <w:i/>
                <w:sz w:val="24"/>
                <w:szCs w:val="24"/>
              </w:rPr>
              <w:t>ОАО «Банк Москвы» - Кредитор.</w:t>
            </w:r>
          </w:p>
          <w:p w:rsidR="00DA0DED" w:rsidRPr="00DA0DED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DA0DED">
              <w:rPr>
                <w:i/>
                <w:sz w:val="24"/>
                <w:szCs w:val="24"/>
              </w:rPr>
              <w:t>Кредитор открывает Заемщику в порядке и на условиях, предусмотренных Договором, кредитную линию с установлением общего максимального размера предоставленных Заемщику средств (далее - Лимит выдачи) 7</w:t>
            </w:r>
            <w:r w:rsidRPr="00DA0DED">
              <w:rPr>
                <w:i/>
                <w:sz w:val="24"/>
                <w:szCs w:val="24"/>
                <w:lang w:val="en-US"/>
              </w:rPr>
              <w:t> </w:t>
            </w:r>
            <w:r w:rsidRPr="00DA0DED">
              <w:rPr>
                <w:i/>
                <w:sz w:val="24"/>
                <w:szCs w:val="24"/>
              </w:rPr>
              <w:t>472</w:t>
            </w:r>
            <w:r w:rsidRPr="00DA0DED">
              <w:rPr>
                <w:i/>
                <w:sz w:val="24"/>
                <w:szCs w:val="24"/>
                <w:lang w:val="en-US"/>
              </w:rPr>
              <w:t> </w:t>
            </w:r>
            <w:r w:rsidRPr="00DA0DED">
              <w:rPr>
                <w:i/>
                <w:sz w:val="24"/>
                <w:szCs w:val="24"/>
              </w:rPr>
              <w:t>233</w:t>
            </w:r>
            <w:r w:rsidRPr="00DA0DED">
              <w:rPr>
                <w:i/>
                <w:sz w:val="24"/>
                <w:szCs w:val="24"/>
                <w:lang w:val="en-US"/>
              </w:rPr>
              <w:t> </w:t>
            </w:r>
            <w:r w:rsidRPr="00DA0DED">
              <w:rPr>
                <w:i/>
                <w:sz w:val="24"/>
                <w:szCs w:val="24"/>
              </w:rPr>
              <w:t>898 (Семь миллиардов четыреста семьдесят два миллиона двести тридцать три тысячи восемьсот девяносто восемь) рублей.</w:t>
            </w:r>
          </w:p>
          <w:p w:rsidR="00DA0DED" w:rsidRPr="00DA0DED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DA0DED">
              <w:rPr>
                <w:i/>
                <w:sz w:val="24"/>
                <w:szCs w:val="24"/>
              </w:rPr>
              <w:t>Окончательный срок возврата кредита - «31» марта 2026 года.</w:t>
            </w:r>
          </w:p>
          <w:p w:rsidR="00DA0DED" w:rsidRPr="00DA0DED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DA0DED">
              <w:rPr>
                <w:i/>
                <w:sz w:val="24"/>
                <w:szCs w:val="24"/>
              </w:rPr>
              <w:t>Процентная ставка за пользование кредитом устанавливается в размере 12,5 (Двенадцать целых пять десятых) процентов годовых.</w:t>
            </w:r>
          </w:p>
          <w:p w:rsidR="00DA0DED" w:rsidRPr="00DA0DED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DA0DED">
              <w:rPr>
                <w:bCs/>
                <w:i/>
                <w:iCs/>
                <w:sz w:val="24"/>
                <w:szCs w:val="24"/>
              </w:rPr>
              <w:t>Существенные условия Кредитного договора отражены в Приложении № 1 к Протоколу ВОСА</w:t>
            </w:r>
            <w:r w:rsidRPr="00DA0DED">
              <w:rPr>
                <w:bCs/>
                <w:iCs/>
                <w:sz w:val="24"/>
                <w:szCs w:val="24"/>
              </w:rPr>
              <w:t>.</w:t>
            </w:r>
          </w:p>
          <w:p w:rsidR="00DA0DED" w:rsidRDefault="00DA0DED" w:rsidP="00B95C31">
            <w:pPr>
              <w:widowControl w:val="0"/>
              <w:adjustRightInd w:val="0"/>
              <w:jc w:val="both"/>
              <w:outlineLvl w:val="0"/>
              <w:rPr>
                <w:rFonts w:eastAsia="Times New Roman"/>
                <w:b/>
                <w:i/>
                <w:sz w:val="24"/>
                <w:szCs w:val="24"/>
              </w:rPr>
            </w:pPr>
            <w:r w:rsidRPr="00ED6660">
              <w:rPr>
                <w:rFonts w:eastAsia="Times New Roman"/>
                <w:b/>
                <w:i/>
                <w:sz w:val="24"/>
                <w:szCs w:val="24"/>
              </w:rPr>
              <w:t>Итоги голосования по второму вопросу повестки дня:</w:t>
            </w:r>
          </w:p>
          <w:p w:rsidR="00ED6660" w:rsidRPr="00ED6660" w:rsidRDefault="00ED6660" w:rsidP="00ED6660">
            <w:pPr>
              <w:widowControl w:val="0"/>
              <w:adjustRightInd w:val="0"/>
              <w:jc w:val="both"/>
              <w:outlineLvl w:val="0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bookmarkStart w:id="9" w:name="В002_ФормПравилоПринРеш"/>
            <w:r w:rsidRPr="00ED6660">
              <w:rPr>
                <w:rFonts w:eastAsia="Times New Roman"/>
                <w:bCs/>
                <w:i/>
                <w:iCs/>
                <w:sz w:val="24"/>
                <w:szCs w:val="24"/>
              </w:rPr>
              <w:t>В соответствии с п.4 ст. 83 ФЗ «Об акционерных обществах» решение по второму вопросу повестки дня принимается большинством голосов всех не заинтересованных в сделке акционеров - владельцев голосующих акций Общества.</w:t>
            </w:r>
            <w:bookmarkEnd w:id="9"/>
          </w:p>
          <w:p w:rsidR="00ED6660" w:rsidRPr="00ED6660" w:rsidRDefault="00ED6660" w:rsidP="00ED6660">
            <w:pPr>
              <w:widowControl w:val="0"/>
              <w:adjustRightInd w:val="0"/>
              <w:jc w:val="both"/>
              <w:outlineLvl w:val="0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ED6660">
              <w:rPr>
                <w:rFonts w:eastAsia="Times New Roman"/>
                <w:bCs/>
                <w:i/>
                <w:iCs/>
                <w:sz w:val="24"/>
                <w:szCs w:val="24"/>
              </w:rPr>
              <w:t>В соответствии с п.4 ст. 83 ФЗ «Об акционерных обществах» не участвуют в голосовании 0 акций, принадлежащие заинтересованным в сделке акционерам – владельцам голосующих акций Общества</w:t>
            </w:r>
            <w:r w:rsidR="00026EC7">
              <w:rPr>
                <w:rFonts w:eastAsia="Times New Roman"/>
                <w:bCs/>
                <w:i/>
                <w:iCs/>
                <w:sz w:val="24"/>
                <w:szCs w:val="24"/>
              </w:rPr>
              <w:t>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81"/>
              <w:gridCol w:w="2693"/>
              <w:gridCol w:w="4448"/>
            </w:tblGrid>
            <w:tr w:rsidR="00DA0DED" w:rsidRPr="00DA0DED" w:rsidTr="00867E95">
              <w:tblPrEx>
                <w:tblCellMar>
                  <w:top w:w="0" w:type="dxa"/>
                  <w:bottom w:w="0" w:type="dxa"/>
                </w:tblCellMar>
              </w:tblPrEx>
              <w:trPr>
                <w:trHeight w:val="255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jc w:val="center"/>
                    <w:rPr>
                      <w:rFonts w:eastAsia="Times New Roman"/>
                      <w:i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jc w:val="center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i/>
                      <w:sz w:val="22"/>
                      <w:szCs w:val="22"/>
                    </w:rPr>
                    <w:t>Количество голосов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jc w:val="center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i/>
                      <w:sz w:val="22"/>
                      <w:szCs w:val="22"/>
                    </w:rPr>
                    <w:t>Процент от общего числа голосов, которыми обладали все лица, не заинтересованные в совершении сделки</w:t>
                  </w:r>
                </w:p>
              </w:tc>
            </w:tr>
            <w:tr w:rsidR="00DA0DED" w:rsidRPr="00DA0DED" w:rsidTr="00867E95">
              <w:tblPrEx>
                <w:tblCellMar>
                  <w:top w:w="0" w:type="dxa"/>
                  <w:bottom w:w="0" w:type="dxa"/>
                </w:tblCellMar>
              </w:tblPrEx>
              <w:trPr>
                <w:trHeight w:val="315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i/>
                      <w:sz w:val="22"/>
                      <w:szCs w:val="22"/>
                    </w:rPr>
                    <w:t>«ЗА»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jc w:val="center"/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  <w:t xml:space="preserve">1 396 937 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widowControl w:val="0"/>
                    <w:tabs>
                      <w:tab w:val="left" w:pos="1305"/>
                      <w:tab w:val="center" w:pos="1692"/>
                    </w:tabs>
                    <w:adjustRightInd w:val="0"/>
                    <w:jc w:val="center"/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  <w:t>91,1587</w:t>
                  </w:r>
                </w:p>
              </w:tc>
            </w:tr>
            <w:tr w:rsidR="00DA0DED" w:rsidRPr="00DA0DED" w:rsidTr="00867E95">
              <w:tblPrEx>
                <w:tblCellMar>
                  <w:top w:w="0" w:type="dxa"/>
                  <w:bottom w:w="0" w:type="dxa"/>
                </w:tblCellMar>
              </w:tblPrEx>
              <w:trPr>
                <w:trHeight w:val="333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i/>
                      <w:sz w:val="22"/>
                      <w:szCs w:val="22"/>
                    </w:rPr>
                    <w:t>«ПРОТИВ»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jc w:val="center"/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  <w:t>127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jc w:val="center"/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  <w:t>0,0083</w:t>
                  </w:r>
                </w:p>
              </w:tc>
            </w:tr>
            <w:tr w:rsidR="00DA0DED" w:rsidRPr="00DA0DED" w:rsidTr="00867E95">
              <w:tblPrEx>
                <w:tblCellMar>
                  <w:top w:w="0" w:type="dxa"/>
                  <w:bottom w:w="0" w:type="dxa"/>
                </w:tblCellMar>
              </w:tblPrEx>
              <w:trPr>
                <w:trHeight w:val="358"/>
              </w:trPr>
              <w:tc>
                <w:tcPr>
                  <w:tcW w:w="2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rPr>
                      <w:rFonts w:eastAsia="Times New Roman"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i/>
                      <w:sz w:val="22"/>
                      <w:szCs w:val="22"/>
                    </w:rPr>
                    <w:t>«ВОЗДЕРЖАЛСЯ»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jc w:val="center"/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  <w:t>831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DED" w:rsidRPr="00BE6246" w:rsidRDefault="00DA0DED" w:rsidP="00DA0DED">
                  <w:pPr>
                    <w:widowControl w:val="0"/>
                    <w:adjustRightInd w:val="0"/>
                    <w:jc w:val="center"/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</w:pPr>
                  <w:r w:rsidRPr="00BE6246">
                    <w:rPr>
                      <w:rFonts w:eastAsia="Times New Roman"/>
                      <w:b/>
                      <w:i/>
                      <w:sz w:val="22"/>
                      <w:szCs w:val="22"/>
                    </w:rPr>
                    <w:t>0,0542</w:t>
                  </w:r>
                </w:p>
              </w:tc>
            </w:tr>
          </w:tbl>
          <w:p w:rsidR="00DA0DED" w:rsidRPr="00620FCC" w:rsidRDefault="00DA0DED" w:rsidP="005409E8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620FCC">
              <w:rPr>
                <w:rFonts w:eastAsia="Times New Roman"/>
                <w:i/>
                <w:sz w:val="24"/>
                <w:szCs w:val="24"/>
              </w:rPr>
              <w:t xml:space="preserve">Число голосов по второму вопросу повестки дня общего собрания, которые не подсчитывались в связи с признанием бюллетеней недействительными: </w:t>
            </w:r>
            <w:r w:rsidRPr="00620FCC">
              <w:rPr>
                <w:rFonts w:eastAsia="Times New Roman"/>
                <w:b/>
                <w:i/>
                <w:sz w:val="24"/>
                <w:szCs w:val="24"/>
              </w:rPr>
              <w:t xml:space="preserve">60 </w:t>
            </w:r>
            <w:r w:rsidRPr="00620FCC">
              <w:rPr>
                <w:rFonts w:eastAsia="Times New Roman"/>
                <w:i/>
                <w:sz w:val="24"/>
                <w:szCs w:val="24"/>
              </w:rPr>
              <w:t>голосов.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/>
                <w:bCs/>
                <w:i/>
                <w:iCs/>
                <w:noProof/>
                <w:sz w:val="24"/>
                <w:szCs w:val="24"/>
              </w:rPr>
              <w:t>По второму вопросу повестки дня принято решение: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Одобрить сделку ОАО «СиМ СТ», связанную с заключением Договора поручительства с Банком ВТБ (публичное акционерное общество), генеральная лицензия Центрального банка Российской Федерации  № 1000, в совершении которой имеется заинтересованность члена Совета директоров Общества Мартиросяна Армана Норайровича, являющегося генеральным директором Общества с ограниченной ответственностью «Перспектива Инвест Групп», на следующих условиях.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Общество - «Поручитель».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Банк ВТБ (публичное акционерное общество) - Кредитор.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Договор поручительства заключается в обеспечение обязательств Заемщика - Общества с ограниченной ответственностью «Перспектива Инвест Групп» (ОГРН 5147746420399, ИНН 7722865077, место нахождения 111033, г. Москва, ул. Золоторожский вал, д. 11), возникших в рамках Кредитного договора (кредитной линии) №215-4009/15/32-16-КД от 27 апреля 2016 года, заключенного с ОАО «Банк Москвы» (новое наименование кредитора – Банк ВТБ (публичное акционерное общество).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Поручитель обязывается перед Кредитором отвечать за исполнение Заемщиком обязательств по Кредитному договору в полном объеме.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Параметры обеспечиваемого обязательства: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 xml:space="preserve">Кредитор открывает Заемщику в порядке и на условиях, предусмотренных Кредитным </w:t>
            </w: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lastRenderedPageBreak/>
              <w:t>договором, кредитную линию с установлением общего максимального размера предоставленных Заемщику средств 9 929 798 416,00 (Девять миллиардов девятьсот двадцать девять миллионов семьсот девяносто восемь тысяч четыреста шестнадцать 00/100) рублей.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Процентная ставка за пользование кредитом устанавливается в размере 12,5%. (Двенадцать целых пять десятых процентов) годовых. Кредитор согласно п. 2.2. Кредитного договора имеет право в одностороннем порядке по своему усмотрению изменять процентную ставку по кредиту. При этом, Кредитор имеет право увеличить процентную ставку по кредиту  в случае наступления любого из указанных в п. 2.2. Кредитного договора событий, которые признаются сторонами Кредитного договора в качестве объективных факторов, отражающих порядок рыночного ценообразования на финансовом рынке Российской Федерации.  При этом, Кредитор вправе в одностороннем порядке увеличить процентную ставку по кредиту при наступлении любого из указанных в п. 2.2. Кредитного договора факторов не более чем на 3,5 (Три целых пять десятых) процентных пунктов.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В  случае нарушения сроков возврата выданного в рамках Кредитного договора кредита  и/или уплаты процентов за пользование кредитом, в соответствии с условиями Кредитного договора, Заемщик (помимо процентов за пользование кредитом) обязан уплатить Кредитору за каждый день просрочки неустойку в виде пени в размере 13% (Тринадцати) процентов годовых от суммы просроченной задолженности, за период с даты возникновения просроченной задолженности по дату погашения Заемщиком просроченной задолженности в полном объеме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В случае неисполнения / ненадлежащего исполнения любого из обязательств, указанных  в п. 3.1.5, 3.1.10, 3.1.12, 3.1.13, 3.1.14, 3.1.17, 3.1.21. - 3.1.28. Кредитного договора, Кредитор вправе взыскать с Заемщика неустойку в виде пени в размере 10 000,00 (Десяти тысяч)  рублей за каждый день, начиная с даты, следующей за датой наступления срока исполнения соответствующего обязательства, по фактическую дату надлежащего исполнения соответствующего обязательства (за каждое нарушение).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В случае невыполнения/несвоевременного выполнения любого из обязательств, указанных  в п.п. 3.1.18. -  3.1.20. Кредитного договора, Кредитор вправе взыскать с Заемщика неустойку в виде пени в размере 15 000,00 (Пятнадцати тысяч) рублей за каждый день, начиная с даты, следующей за датой наступления срока исполнения соответствующего  обязательства, по фактическую дату надлежащего исполнения соответствующего обязательства (за каждое нарушение).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Окончательный срок возврата кредита по согласованному в Кредитном договоре графику до 30.06.2025 года.</w:t>
            </w:r>
          </w:p>
          <w:p w:rsidR="00DA0DED" w:rsidRPr="00DA0DED" w:rsidRDefault="00DA0DED" w:rsidP="00620FCC">
            <w:pPr>
              <w:autoSpaceDE/>
              <w:autoSpaceDN/>
              <w:jc w:val="both"/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</w:pPr>
            <w:r w:rsidRPr="00DA0DED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Поручительство по Договору поручительства является солидарным.</w:t>
            </w:r>
          </w:p>
          <w:p w:rsidR="00DA0DED" w:rsidRPr="0085567E" w:rsidRDefault="00DA0DED" w:rsidP="00DA0DE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i/>
              </w:rPr>
            </w:pPr>
            <w:r w:rsidRPr="00765683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 xml:space="preserve">Договор вступает в силу с момента его подписания Сторонами. Поручительство предоставляется на срок, не превышающий трех лет с </w:t>
            </w:r>
            <w:r w:rsidRPr="0085567E">
              <w:rPr>
                <w:rFonts w:eastAsia="Times New Roman"/>
                <w:bCs/>
                <w:i/>
                <w:iCs/>
                <w:noProof/>
                <w:sz w:val="24"/>
                <w:szCs w:val="24"/>
              </w:rPr>
              <w:t>даты окончательного срока возврата кредита, установленного Кредитным договором.</w:t>
            </w:r>
          </w:p>
          <w:p w:rsid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Д</w:t>
            </w:r>
            <w:r w:rsidRPr="005409E8">
              <w:rPr>
                <w:sz w:val="24"/>
                <w:szCs w:val="24"/>
              </w:rPr>
              <w:t xml:space="preserve">ата составления и номер протокола общего собрания </w:t>
            </w:r>
            <w:r>
              <w:rPr>
                <w:sz w:val="24"/>
                <w:szCs w:val="24"/>
              </w:rPr>
              <w:t>акционеров эмитента:</w:t>
            </w:r>
          </w:p>
          <w:p w:rsidR="00962426" w:rsidRPr="00DA0DED" w:rsidRDefault="00962426" w:rsidP="005409E8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A0DED">
              <w:rPr>
                <w:b/>
                <w:i/>
                <w:sz w:val="24"/>
                <w:szCs w:val="24"/>
              </w:rPr>
              <w:t>«16» июня 2016 г., б/н</w:t>
            </w:r>
          </w:p>
          <w:p w:rsidR="005409E8" w:rsidRPr="005409E8" w:rsidRDefault="005409E8" w:rsidP="005409E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И</w:t>
            </w:r>
            <w:r w:rsidRPr="005409E8">
              <w:rPr>
                <w:sz w:val="24"/>
                <w:szCs w:val="24"/>
              </w:rPr>
              <w:t>дентификационные признаки акций, владельцы которых имеют право на участие в общем собрании акционеров эмитента</w:t>
            </w:r>
            <w:r>
              <w:rPr>
                <w:sz w:val="24"/>
                <w:szCs w:val="24"/>
              </w:rPr>
              <w:t>:</w:t>
            </w:r>
          </w:p>
          <w:p w:rsidR="003333AA" w:rsidRPr="00BA715A" w:rsidRDefault="00A1257E" w:rsidP="004B4A3A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О</w:t>
            </w:r>
            <w:r w:rsidRPr="00A1257E">
              <w:rPr>
                <w:b/>
                <w:bCs/>
                <w:i/>
                <w:sz w:val="24"/>
                <w:szCs w:val="24"/>
              </w:rPr>
              <w:t>быкновенные именные бездокументарные акции, государственный регистрационный номер выпуска 1-03-00946-</w:t>
            </w:r>
            <w:r w:rsidRPr="00A1257E">
              <w:rPr>
                <w:b/>
                <w:bCs/>
                <w:i/>
                <w:sz w:val="24"/>
                <w:szCs w:val="24"/>
                <w:lang w:val="en-US"/>
              </w:rPr>
              <w:t>A</w:t>
            </w:r>
            <w:r w:rsidRPr="00A1257E">
              <w:rPr>
                <w:b/>
                <w:bCs/>
                <w:i/>
                <w:sz w:val="24"/>
                <w:szCs w:val="24"/>
              </w:rPr>
              <w:t>, дата государственной регистрации выпуска «25» марта 2008 года.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4B4A3A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4B4A3A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E71160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E71160" w:rsidRPr="00BA715A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0A" w:rsidRDefault="00746F0A">
      <w:r>
        <w:separator/>
      </w:r>
    </w:p>
  </w:endnote>
  <w:endnote w:type="continuationSeparator" w:id="0">
    <w:p w:rsidR="00746F0A" w:rsidRDefault="0074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08" w:rsidRDefault="00CA3D08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D716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0A" w:rsidRDefault="00746F0A">
      <w:r>
        <w:separator/>
      </w:r>
    </w:p>
  </w:footnote>
  <w:footnote w:type="continuationSeparator" w:id="0">
    <w:p w:rsidR="00746F0A" w:rsidRDefault="0074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26EC7"/>
    <w:rsid w:val="00060B6C"/>
    <w:rsid w:val="00075A13"/>
    <w:rsid w:val="000B007F"/>
    <w:rsid w:val="000B40FB"/>
    <w:rsid w:val="000C59A5"/>
    <w:rsid w:val="000F72A2"/>
    <w:rsid w:val="00102FAB"/>
    <w:rsid w:val="001444FF"/>
    <w:rsid w:val="001628D5"/>
    <w:rsid w:val="00174D14"/>
    <w:rsid w:val="001920DA"/>
    <w:rsid w:val="001A71ED"/>
    <w:rsid w:val="001E126E"/>
    <w:rsid w:val="001E2925"/>
    <w:rsid w:val="001E68AF"/>
    <w:rsid w:val="0020695B"/>
    <w:rsid w:val="0021382A"/>
    <w:rsid w:val="00242F28"/>
    <w:rsid w:val="0025614D"/>
    <w:rsid w:val="00261013"/>
    <w:rsid w:val="00274206"/>
    <w:rsid w:val="002761AA"/>
    <w:rsid w:val="00282879"/>
    <w:rsid w:val="002B2F2D"/>
    <w:rsid w:val="002B6AA1"/>
    <w:rsid w:val="002B710E"/>
    <w:rsid w:val="00301648"/>
    <w:rsid w:val="00305206"/>
    <w:rsid w:val="0030541C"/>
    <w:rsid w:val="003333AA"/>
    <w:rsid w:val="00337E87"/>
    <w:rsid w:val="00342FE3"/>
    <w:rsid w:val="00386E07"/>
    <w:rsid w:val="00391C4E"/>
    <w:rsid w:val="003972B5"/>
    <w:rsid w:val="003A6C7B"/>
    <w:rsid w:val="003D09A7"/>
    <w:rsid w:val="003F23F9"/>
    <w:rsid w:val="00403A25"/>
    <w:rsid w:val="00440041"/>
    <w:rsid w:val="004441C1"/>
    <w:rsid w:val="00450D56"/>
    <w:rsid w:val="004A0851"/>
    <w:rsid w:val="004A372C"/>
    <w:rsid w:val="004B4A3A"/>
    <w:rsid w:val="004D39DF"/>
    <w:rsid w:val="004D6B4F"/>
    <w:rsid w:val="00507039"/>
    <w:rsid w:val="00520739"/>
    <w:rsid w:val="005226AE"/>
    <w:rsid w:val="00526349"/>
    <w:rsid w:val="00533763"/>
    <w:rsid w:val="00540805"/>
    <w:rsid w:val="005409E8"/>
    <w:rsid w:val="00555D43"/>
    <w:rsid w:val="00557471"/>
    <w:rsid w:val="0058067A"/>
    <w:rsid w:val="00594269"/>
    <w:rsid w:val="00597D10"/>
    <w:rsid w:val="005C6D07"/>
    <w:rsid w:val="005E7A7C"/>
    <w:rsid w:val="005F1848"/>
    <w:rsid w:val="00620FCC"/>
    <w:rsid w:val="00626D6D"/>
    <w:rsid w:val="00627278"/>
    <w:rsid w:val="00636DD3"/>
    <w:rsid w:val="006A2B97"/>
    <w:rsid w:val="006D71AD"/>
    <w:rsid w:val="006E6C43"/>
    <w:rsid w:val="00725F56"/>
    <w:rsid w:val="007319AC"/>
    <w:rsid w:val="0073234B"/>
    <w:rsid w:val="00737B6B"/>
    <w:rsid w:val="00740210"/>
    <w:rsid w:val="00746F0A"/>
    <w:rsid w:val="00761A5C"/>
    <w:rsid w:val="00765683"/>
    <w:rsid w:val="007719C5"/>
    <w:rsid w:val="00792C27"/>
    <w:rsid w:val="007B5522"/>
    <w:rsid w:val="007B590E"/>
    <w:rsid w:val="00821650"/>
    <w:rsid w:val="00831EE9"/>
    <w:rsid w:val="00847A23"/>
    <w:rsid w:val="0085567E"/>
    <w:rsid w:val="00863334"/>
    <w:rsid w:val="0086420C"/>
    <w:rsid w:val="00867E95"/>
    <w:rsid w:val="008913D4"/>
    <w:rsid w:val="008B2ABE"/>
    <w:rsid w:val="008C390A"/>
    <w:rsid w:val="008D31F2"/>
    <w:rsid w:val="008E41F1"/>
    <w:rsid w:val="008F3E04"/>
    <w:rsid w:val="0090569C"/>
    <w:rsid w:val="009247CF"/>
    <w:rsid w:val="00931F2F"/>
    <w:rsid w:val="009429E6"/>
    <w:rsid w:val="00944330"/>
    <w:rsid w:val="00950D2E"/>
    <w:rsid w:val="009562E8"/>
    <w:rsid w:val="00962426"/>
    <w:rsid w:val="00990D78"/>
    <w:rsid w:val="009D2534"/>
    <w:rsid w:val="009F2C8E"/>
    <w:rsid w:val="00A1257E"/>
    <w:rsid w:val="00A97D97"/>
    <w:rsid w:val="00AB3E61"/>
    <w:rsid w:val="00AB6C79"/>
    <w:rsid w:val="00AD716E"/>
    <w:rsid w:val="00B10EDF"/>
    <w:rsid w:val="00B21E0E"/>
    <w:rsid w:val="00B2287B"/>
    <w:rsid w:val="00B34366"/>
    <w:rsid w:val="00B515E8"/>
    <w:rsid w:val="00B756BD"/>
    <w:rsid w:val="00B94661"/>
    <w:rsid w:val="00B95C31"/>
    <w:rsid w:val="00BA715A"/>
    <w:rsid w:val="00BC3C94"/>
    <w:rsid w:val="00BE6246"/>
    <w:rsid w:val="00BE6544"/>
    <w:rsid w:val="00BF0657"/>
    <w:rsid w:val="00BF7F43"/>
    <w:rsid w:val="00C1092C"/>
    <w:rsid w:val="00C11BB5"/>
    <w:rsid w:val="00C2282A"/>
    <w:rsid w:val="00C637D9"/>
    <w:rsid w:val="00C835DE"/>
    <w:rsid w:val="00C86476"/>
    <w:rsid w:val="00C9735D"/>
    <w:rsid w:val="00C97371"/>
    <w:rsid w:val="00CA2262"/>
    <w:rsid w:val="00CA378D"/>
    <w:rsid w:val="00CA3D08"/>
    <w:rsid w:val="00CA4AF6"/>
    <w:rsid w:val="00CA4CC7"/>
    <w:rsid w:val="00CC294F"/>
    <w:rsid w:val="00CE08C1"/>
    <w:rsid w:val="00D05981"/>
    <w:rsid w:val="00D3360C"/>
    <w:rsid w:val="00D417CE"/>
    <w:rsid w:val="00D60EF8"/>
    <w:rsid w:val="00D61BD9"/>
    <w:rsid w:val="00D75D76"/>
    <w:rsid w:val="00D76186"/>
    <w:rsid w:val="00D83F94"/>
    <w:rsid w:val="00D946FB"/>
    <w:rsid w:val="00DA0DED"/>
    <w:rsid w:val="00DA5262"/>
    <w:rsid w:val="00DA5952"/>
    <w:rsid w:val="00DB63F2"/>
    <w:rsid w:val="00DE6615"/>
    <w:rsid w:val="00DE7077"/>
    <w:rsid w:val="00DF6322"/>
    <w:rsid w:val="00E009C0"/>
    <w:rsid w:val="00E106A5"/>
    <w:rsid w:val="00E317E8"/>
    <w:rsid w:val="00E32521"/>
    <w:rsid w:val="00E71160"/>
    <w:rsid w:val="00E735AE"/>
    <w:rsid w:val="00E91A7B"/>
    <w:rsid w:val="00E94ED1"/>
    <w:rsid w:val="00EA3817"/>
    <w:rsid w:val="00EA58C2"/>
    <w:rsid w:val="00EC6E89"/>
    <w:rsid w:val="00ED1644"/>
    <w:rsid w:val="00ED1896"/>
    <w:rsid w:val="00ED6660"/>
    <w:rsid w:val="00F003C3"/>
    <w:rsid w:val="00F10725"/>
    <w:rsid w:val="00F169A0"/>
    <w:rsid w:val="00F35257"/>
    <w:rsid w:val="00F70FD4"/>
    <w:rsid w:val="00F8220E"/>
    <w:rsid w:val="00F90568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2016-06-17T14:20:00Z</dcterms:created>
  <dcterms:modified xsi:type="dcterms:W3CDTF">2016-06-17T14:20:00Z</dcterms:modified>
</cp:coreProperties>
</file>