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эмитент</w:t>
      </w:r>
      <w:r w:rsidR="00F4265D">
        <w:rPr>
          <w:b/>
          <w:bCs/>
          <w:sz w:val="24"/>
          <w:szCs w:val="24"/>
        </w:rPr>
        <w:t>ом существенной</w:t>
      </w:r>
      <w:r w:rsidR="00922ACA" w:rsidRPr="00922ACA">
        <w:rPr>
          <w:b/>
          <w:bCs/>
          <w:sz w:val="24"/>
          <w:szCs w:val="24"/>
        </w:rPr>
        <w:t xml:space="preserve">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012DA7">
        <w:tblPrEx>
          <w:tblCellMar>
            <w:top w:w="0" w:type="dxa"/>
            <w:bottom w:w="0" w:type="dxa"/>
          </w:tblCellMar>
        </w:tblPrEx>
        <w:trPr>
          <w:trHeight w:val="1397"/>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E71998" w:rsidRPr="00E71998" w:rsidRDefault="00E71998" w:rsidP="00E71998">
            <w:pPr>
              <w:tabs>
                <w:tab w:val="left" w:pos="284"/>
                <w:tab w:val="left" w:pos="709"/>
              </w:tabs>
              <w:jc w:val="both"/>
              <w:rPr>
                <w:b/>
                <w:bCs/>
                <w:i/>
                <w:iCs/>
                <w:sz w:val="24"/>
                <w:szCs w:val="24"/>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195431">
              <w:rPr>
                <w:b/>
                <w:bCs/>
                <w:i/>
                <w:iCs/>
                <w:sz w:val="24"/>
                <w:szCs w:val="24"/>
              </w:rPr>
              <w:t>существенная</w:t>
            </w:r>
            <w:r w:rsidRPr="00E71998">
              <w:rPr>
                <w:b/>
                <w:bCs/>
                <w:i/>
                <w:iCs/>
                <w:sz w:val="24"/>
                <w:szCs w:val="24"/>
              </w:rPr>
              <w:t xml:space="preserve"> сделка</w:t>
            </w:r>
            <w:r w:rsidR="00E97B51" w:rsidRPr="000434FA">
              <w:rPr>
                <w:b/>
                <w:bCs/>
                <w:i/>
                <w:iCs/>
                <w:sz w:val="24"/>
                <w:szCs w:val="24"/>
              </w:rPr>
              <w:t>, не являющаяся крупной</w:t>
            </w:r>
          </w:p>
          <w:p w:rsidR="00CF024A" w:rsidRDefault="00C87739" w:rsidP="00C87739">
            <w:pPr>
              <w:tabs>
                <w:tab w:val="left" w:pos="284"/>
                <w:tab w:val="left" w:pos="709"/>
              </w:tabs>
              <w:jc w:val="both"/>
              <w:rPr>
                <w:b/>
                <w:i/>
                <w:sz w:val="24"/>
                <w:szCs w:val="24"/>
              </w:rPr>
            </w:pPr>
            <w:r>
              <w:rPr>
                <w:sz w:val="24"/>
                <w:szCs w:val="24"/>
              </w:rPr>
              <w:t>2.</w:t>
            </w:r>
            <w:r w:rsidR="00CF024A">
              <w:rPr>
                <w:sz w:val="24"/>
                <w:szCs w:val="24"/>
              </w:rPr>
              <w:t>3</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займа </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CF024A" w:rsidRPr="00CF024A" w:rsidRDefault="00CF024A" w:rsidP="00CF024A">
            <w:pPr>
              <w:tabs>
                <w:tab w:val="left" w:pos="284"/>
                <w:tab w:val="left" w:pos="709"/>
              </w:tabs>
              <w:jc w:val="both"/>
              <w:rPr>
                <w:b/>
                <w:i/>
                <w:sz w:val="24"/>
                <w:szCs w:val="24"/>
              </w:rPr>
            </w:pPr>
            <w:r w:rsidRPr="00CF024A">
              <w:rPr>
                <w:b/>
                <w:i/>
                <w:sz w:val="24"/>
                <w:szCs w:val="24"/>
              </w:rPr>
              <w:t xml:space="preserve">Займодавец обязуется предоставить Заемщику заем на сумму </w:t>
            </w:r>
            <w:r w:rsidR="0071737E">
              <w:rPr>
                <w:b/>
                <w:i/>
                <w:sz w:val="24"/>
                <w:szCs w:val="24"/>
              </w:rPr>
              <w:t>5</w:t>
            </w:r>
            <w:r w:rsidRPr="00CF024A">
              <w:rPr>
                <w:b/>
                <w:i/>
                <w:sz w:val="24"/>
                <w:szCs w:val="24"/>
              </w:rPr>
              <w:t>00 000 000,00 (</w:t>
            </w:r>
            <w:r w:rsidR="0071737E">
              <w:rPr>
                <w:b/>
                <w:i/>
                <w:sz w:val="24"/>
                <w:szCs w:val="24"/>
              </w:rPr>
              <w:t>Пятьсот</w:t>
            </w:r>
            <w:r w:rsidRPr="00CF024A">
              <w:rPr>
                <w:b/>
                <w:i/>
                <w:sz w:val="24"/>
                <w:szCs w:val="24"/>
              </w:rPr>
              <w:t xml:space="preserve"> миллионов) рублей 00 копеек (далее по тексту – «Заем» или «Сумма займа»), в порядке и на условиях, предусмотренных Договором</w:t>
            </w:r>
            <w:r>
              <w:rPr>
                <w:b/>
                <w:i/>
                <w:sz w:val="24"/>
                <w:szCs w:val="24"/>
              </w:rPr>
              <w:t xml:space="preserve"> займа</w:t>
            </w:r>
            <w:r w:rsidRPr="00CF024A">
              <w:rPr>
                <w:b/>
                <w:i/>
                <w:sz w:val="24"/>
                <w:szCs w:val="24"/>
              </w:rPr>
              <w:t>, а Заемщик обязуется возвратить полученный Заем и уплатить проценты за пользование им в сроки и на условиях Договора</w:t>
            </w:r>
            <w:r>
              <w:rPr>
                <w:b/>
                <w:i/>
                <w:sz w:val="24"/>
                <w:szCs w:val="24"/>
              </w:rPr>
              <w:t xml:space="preserve"> займа</w:t>
            </w:r>
            <w:r w:rsidRPr="00CF024A">
              <w:rPr>
                <w:b/>
                <w:i/>
                <w:sz w:val="24"/>
                <w:szCs w:val="24"/>
              </w:rPr>
              <w:t>.</w:t>
            </w:r>
          </w:p>
          <w:p w:rsidR="00CF024A" w:rsidRDefault="00CF024A" w:rsidP="00CF024A">
            <w:pPr>
              <w:tabs>
                <w:tab w:val="left" w:pos="284"/>
                <w:tab w:val="left" w:pos="709"/>
              </w:tabs>
              <w:jc w:val="both"/>
              <w:rPr>
                <w:b/>
                <w:i/>
                <w:sz w:val="24"/>
                <w:szCs w:val="24"/>
              </w:rPr>
            </w:pPr>
            <w:r w:rsidRPr="00CF024A">
              <w:rPr>
                <w:b/>
                <w:i/>
                <w:sz w:val="24"/>
                <w:szCs w:val="24"/>
              </w:rPr>
              <w:t>Заем предоставляется на срок до «</w:t>
            </w:r>
            <w:r w:rsidR="005F2C27">
              <w:rPr>
                <w:b/>
                <w:i/>
                <w:sz w:val="24"/>
                <w:szCs w:val="24"/>
              </w:rPr>
              <w:t>3</w:t>
            </w:r>
            <w:r w:rsidRPr="00CF024A">
              <w:rPr>
                <w:b/>
                <w:i/>
                <w:sz w:val="24"/>
                <w:szCs w:val="24"/>
              </w:rPr>
              <w:t>1</w:t>
            </w:r>
            <w:r>
              <w:rPr>
                <w:b/>
                <w:i/>
                <w:sz w:val="24"/>
                <w:szCs w:val="24"/>
              </w:rPr>
              <w:t xml:space="preserve">» </w:t>
            </w:r>
            <w:r w:rsidR="005F2C27">
              <w:rPr>
                <w:b/>
                <w:i/>
                <w:sz w:val="24"/>
                <w:szCs w:val="24"/>
              </w:rPr>
              <w:t>декабря</w:t>
            </w:r>
            <w:r w:rsidRPr="00CF024A">
              <w:rPr>
                <w:b/>
                <w:i/>
                <w:sz w:val="24"/>
                <w:szCs w:val="24"/>
              </w:rPr>
              <w:t xml:space="preserve"> 20</w:t>
            </w:r>
            <w:r w:rsidR="005F2C27">
              <w:rPr>
                <w:b/>
                <w:i/>
                <w:sz w:val="24"/>
                <w:szCs w:val="24"/>
              </w:rPr>
              <w:t>26</w:t>
            </w:r>
            <w:r w:rsidRPr="00CF024A">
              <w:rPr>
                <w:b/>
                <w:i/>
                <w:sz w:val="24"/>
                <w:szCs w:val="24"/>
              </w:rPr>
              <w:t xml:space="preserve"> года.</w:t>
            </w:r>
          </w:p>
          <w:p w:rsidR="00CF024A" w:rsidRPr="00CF024A" w:rsidRDefault="00CF024A" w:rsidP="00CF024A">
            <w:pPr>
              <w:tabs>
                <w:tab w:val="left" w:pos="284"/>
                <w:tab w:val="left" w:pos="709"/>
              </w:tabs>
              <w:jc w:val="both"/>
              <w:rPr>
                <w:b/>
                <w:i/>
                <w:sz w:val="24"/>
                <w:szCs w:val="24"/>
              </w:rPr>
            </w:pPr>
            <w:r w:rsidRPr="00CF024A">
              <w:rPr>
                <w:b/>
                <w:i/>
                <w:sz w:val="24"/>
                <w:szCs w:val="24"/>
              </w:rPr>
              <w:t>Заем предоставляется Заемщику для использования на следующие цели: пополнение оборотных средств.</w:t>
            </w:r>
          </w:p>
          <w:p w:rsidR="00CF024A" w:rsidRPr="00CF024A" w:rsidRDefault="00CF024A" w:rsidP="00CF024A">
            <w:pPr>
              <w:tabs>
                <w:tab w:val="left" w:pos="284"/>
                <w:tab w:val="left" w:pos="709"/>
              </w:tabs>
              <w:jc w:val="both"/>
              <w:rPr>
                <w:b/>
                <w:i/>
                <w:sz w:val="24"/>
                <w:szCs w:val="24"/>
              </w:rPr>
            </w:pPr>
            <w:r w:rsidRPr="00CF024A">
              <w:rPr>
                <w:b/>
                <w:i/>
                <w:sz w:val="24"/>
                <w:szCs w:val="24"/>
              </w:rPr>
              <w:t>Использование Займа на цели иные, чем это определено в Договор</w:t>
            </w:r>
            <w:r>
              <w:rPr>
                <w:b/>
                <w:i/>
                <w:sz w:val="24"/>
                <w:szCs w:val="24"/>
              </w:rPr>
              <w:t>е займа</w:t>
            </w:r>
            <w:r w:rsidRPr="00CF024A">
              <w:rPr>
                <w:b/>
                <w:i/>
                <w:sz w:val="24"/>
                <w:szCs w:val="24"/>
              </w:rPr>
              <w:t xml:space="preserve">, не допускается. </w:t>
            </w:r>
          </w:p>
          <w:p w:rsidR="00CF024A" w:rsidRPr="00CF024A" w:rsidRDefault="00CF024A" w:rsidP="00CF024A">
            <w:pPr>
              <w:tabs>
                <w:tab w:val="left" w:pos="284"/>
                <w:tab w:val="left" w:pos="709"/>
              </w:tabs>
              <w:jc w:val="both"/>
              <w:rPr>
                <w:b/>
                <w:i/>
                <w:sz w:val="24"/>
                <w:szCs w:val="24"/>
              </w:rPr>
            </w:pPr>
            <w:r w:rsidRPr="00CF024A">
              <w:rPr>
                <w:b/>
                <w:i/>
                <w:sz w:val="24"/>
                <w:szCs w:val="24"/>
              </w:rPr>
              <w:t>Предоставление Займа осуществляется Займодавцем путем единовременного безналичного перечисления Суммы займа на расчетный счет Заемщика, либо перечислением отдельных траншей на основании заявок.</w:t>
            </w:r>
          </w:p>
          <w:p w:rsidR="00CF024A" w:rsidRPr="00CF024A" w:rsidRDefault="00CF024A" w:rsidP="00CF024A">
            <w:pPr>
              <w:tabs>
                <w:tab w:val="left" w:pos="284"/>
                <w:tab w:val="left" w:pos="709"/>
              </w:tabs>
              <w:jc w:val="both"/>
              <w:rPr>
                <w:b/>
                <w:i/>
                <w:sz w:val="24"/>
                <w:szCs w:val="24"/>
              </w:rPr>
            </w:pPr>
            <w:r w:rsidRPr="00CF024A">
              <w:rPr>
                <w:b/>
                <w:i/>
                <w:sz w:val="24"/>
                <w:szCs w:val="24"/>
              </w:rPr>
              <w:t>Датой предоставления Заемщику Займа/очередного транша будет считаться дата зачисления Суммы займа/транша на расчетный счет Заемщика.</w:t>
            </w:r>
          </w:p>
          <w:p w:rsidR="00D52D09" w:rsidRPr="00D52D09" w:rsidRDefault="00CF024A" w:rsidP="00D52D09">
            <w:pPr>
              <w:tabs>
                <w:tab w:val="left" w:pos="284"/>
                <w:tab w:val="left" w:pos="709"/>
              </w:tabs>
              <w:jc w:val="both"/>
              <w:rPr>
                <w:b/>
                <w:i/>
                <w:sz w:val="24"/>
                <w:szCs w:val="24"/>
              </w:rPr>
            </w:pPr>
            <w:r w:rsidRPr="00CF024A">
              <w:rPr>
                <w:b/>
                <w:i/>
                <w:sz w:val="24"/>
                <w:szCs w:val="24"/>
              </w:rPr>
              <w:t xml:space="preserve">За пользование Займом Заемщик уплачивает Займодавцу проценты из расчета годовой процентной ставки в размере: </w:t>
            </w:r>
            <w:r w:rsidR="0071737E">
              <w:rPr>
                <w:b/>
                <w:i/>
                <w:sz w:val="24"/>
                <w:szCs w:val="24"/>
              </w:rPr>
              <w:t>12</w:t>
            </w:r>
            <w:r w:rsidRPr="00CF024A">
              <w:rPr>
                <w:b/>
                <w:i/>
                <w:sz w:val="24"/>
                <w:szCs w:val="24"/>
              </w:rPr>
              <w:t>% (</w:t>
            </w:r>
            <w:r w:rsidR="0071737E">
              <w:rPr>
                <w:b/>
                <w:i/>
                <w:sz w:val="24"/>
                <w:szCs w:val="24"/>
              </w:rPr>
              <w:t>Двенадцать</w:t>
            </w:r>
            <w:r w:rsidRPr="00CF024A">
              <w:rPr>
                <w:b/>
                <w:i/>
                <w:sz w:val="24"/>
                <w:szCs w:val="24"/>
              </w:rPr>
              <w:t xml:space="preserve"> целых </w:t>
            </w:r>
            <w:r w:rsidR="0071737E">
              <w:rPr>
                <w:b/>
                <w:i/>
                <w:sz w:val="24"/>
                <w:szCs w:val="24"/>
              </w:rPr>
              <w:t>ноль</w:t>
            </w:r>
            <w:r w:rsidRPr="00CF024A">
              <w:rPr>
                <w:b/>
                <w:i/>
                <w:sz w:val="24"/>
                <w:szCs w:val="24"/>
              </w:rPr>
              <w:t xml:space="preserve"> сот</w:t>
            </w:r>
            <w:r w:rsidR="0071737E">
              <w:rPr>
                <w:b/>
                <w:i/>
                <w:sz w:val="24"/>
                <w:szCs w:val="24"/>
              </w:rPr>
              <w:t>ых</w:t>
            </w:r>
            <w:r w:rsidRPr="00CF024A">
              <w:rPr>
                <w:b/>
                <w:i/>
                <w:sz w:val="24"/>
                <w:szCs w:val="24"/>
              </w:rPr>
              <w:t>) процентов годовых.</w:t>
            </w:r>
          </w:p>
          <w:p w:rsidR="00E7371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 xml:space="preserve">рок исполнения обязательств по сделке, стороны и выгодоприобретатели по сделке, размер сделки в денежном выражении и в процентах от стоимости активов </w:t>
            </w:r>
            <w:r w:rsidR="00CF024A">
              <w:rPr>
                <w:sz w:val="24"/>
                <w:szCs w:val="24"/>
              </w:rPr>
              <w:t>эмитента</w:t>
            </w:r>
            <w:r w:rsidR="009778D6">
              <w:rPr>
                <w:sz w:val="24"/>
                <w:szCs w:val="24"/>
              </w:rPr>
              <w:t>:</w:t>
            </w:r>
          </w:p>
          <w:p w:rsidR="00577CC7" w:rsidRPr="00577CC7" w:rsidRDefault="00577CC7" w:rsidP="00577CC7">
            <w:pPr>
              <w:tabs>
                <w:tab w:val="left" w:pos="284"/>
                <w:tab w:val="left" w:pos="709"/>
              </w:tabs>
              <w:jc w:val="both"/>
              <w:rPr>
                <w:b/>
                <w:i/>
                <w:sz w:val="24"/>
                <w:szCs w:val="24"/>
              </w:rPr>
            </w:pPr>
            <w:r>
              <w:rPr>
                <w:b/>
                <w:i/>
                <w:sz w:val="24"/>
                <w:szCs w:val="24"/>
              </w:rPr>
              <w:t xml:space="preserve">- </w:t>
            </w:r>
            <w:r w:rsidR="00CF024A" w:rsidRPr="00CF024A">
              <w:rPr>
                <w:b/>
                <w:i/>
                <w:sz w:val="24"/>
                <w:szCs w:val="24"/>
              </w:rPr>
              <w:t>«</w:t>
            </w:r>
            <w:r w:rsidR="00460069">
              <w:rPr>
                <w:b/>
                <w:i/>
                <w:sz w:val="24"/>
                <w:szCs w:val="24"/>
              </w:rPr>
              <w:t>31</w:t>
            </w:r>
            <w:r w:rsidR="00CF024A" w:rsidRPr="00CF024A">
              <w:rPr>
                <w:b/>
                <w:i/>
                <w:sz w:val="24"/>
                <w:szCs w:val="24"/>
              </w:rPr>
              <w:t xml:space="preserve">» </w:t>
            </w:r>
            <w:r w:rsidR="00460069">
              <w:rPr>
                <w:b/>
                <w:i/>
                <w:sz w:val="24"/>
                <w:szCs w:val="24"/>
              </w:rPr>
              <w:t>декабря</w:t>
            </w:r>
            <w:r w:rsidR="00CF024A" w:rsidRPr="00CF024A">
              <w:rPr>
                <w:b/>
                <w:i/>
                <w:sz w:val="24"/>
                <w:szCs w:val="24"/>
              </w:rPr>
              <w:t xml:space="preserve"> 20</w:t>
            </w:r>
            <w:r w:rsidR="00460069">
              <w:rPr>
                <w:b/>
                <w:i/>
                <w:sz w:val="24"/>
                <w:szCs w:val="24"/>
              </w:rPr>
              <w:t>26</w:t>
            </w:r>
            <w:r w:rsidR="00CF024A" w:rsidRPr="00CF024A">
              <w:rPr>
                <w:b/>
                <w:i/>
                <w:sz w:val="24"/>
                <w:szCs w:val="24"/>
              </w:rPr>
              <w:t xml:space="preserve"> </w:t>
            </w:r>
            <w:r w:rsidR="00CF024A">
              <w:rPr>
                <w:b/>
                <w:i/>
                <w:sz w:val="24"/>
                <w:szCs w:val="24"/>
              </w:rPr>
              <w:t>года</w:t>
            </w:r>
            <w:r>
              <w:rPr>
                <w:b/>
                <w:i/>
                <w:sz w:val="24"/>
                <w:szCs w:val="24"/>
              </w:rPr>
              <w:t>;</w:t>
            </w:r>
            <w:r w:rsidRPr="00577CC7">
              <w:rPr>
                <w:b/>
                <w:i/>
                <w:sz w:val="24"/>
                <w:szCs w:val="24"/>
              </w:rPr>
              <w:t xml:space="preserve"> </w:t>
            </w:r>
          </w:p>
          <w:p w:rsidR="00B75072" w:rsidRDefault="00B75072" w:rsidP="00E73710">
            <w:pPr>
              <w:tabs>
                <w:tab w:val="left" w:pos="284"/>
                <w:tab w:val="left" w:pos="709"/>
              </w:tabs>
              <w:jc w:val="both"/>
              <w:rPr>
                <w:b/>
                <w:i/>
                <w:sz w:val="24"/>
                <w:szCs w:val="24"/>
              </w:rPr>
            </w:pPr>
            <w:r>
              <w:rPr>
                <w:b/>
                <w:i/>
                <w:sz w:val="24"/>
                <w:szCs w:val="24"/>
              </w:rPr>
              <w:t xml:space="preserve">- </w:t>
            </w:r>
            <w:r w:rsidR="00CC3EE8" w:rsidRPr="00CC3EE8">
              <w:rPr>
                <w:b/>
                <w:i/>
                <w:sz w:val="24"/>
                <w:szCs w:val="24"/>
              </w:rPr>
              <w:t xml:space="preserve">Открытое акционерное общество Московский металлургический завод «Серп и Молот» </w:t>
            </w:r>
            <w:r>
              <w:rPr>
                <w:b/>
                <w:i/>
                <w:sz w:val="24"/>
                <w:szCs w:val="24"/>
              </w:rPr>
              <w:t xml:space="preserve"> </w:t>
            </w:r>
            <w:r w:rsidR="00CC3EE8">
              <w:rPr>
                <w:b/>
                <w:i/>
                <w:sz w:val="24"/>
                <w:szCs w:val="24"/>
              </w:rPr>
              <w:t xml:space="preserve">(Заемщик) </w:t>
            </w:r>
            <w:r>
              <w:rPr>
                <w:b/>
                <w:i/>
                <w:sz w:val="24"/>
                <w:szCs w:val="24"/>
              </w:rPr>
              <w:t xml:space="preserve">и </w:t>
            </w:r>
            <w:r w:rsidR="009015B3">
              <w:rPr>
                <w:b/>
                <w:i/>
                <w:sz w:val="24"/>
                <w:szCs w:val="24"/>
              </w:rPr>
              <w:t>Общество с ограниченной ответственностью «</w:t>
            </w:r>
            <w:r w:rsidR="002B3B24">
              <w:rPr>
                <w:b/>
                <w:i/>
                <w:sz w:val="24"/>
                <w:szCs w:val="24"/>
              </w:rPr>
              <w:t>Московская шелкокрутильная фабрика «Моснитки»</w:t>
            </w:r>
            <w:r w:rsidR="009015B3">
              <w:rPr>
                <w:b/>
                <w:i/>
                <w:sz w:val="24"/>
                <w:szCs w:val="24"/>
              </w:rPr>
              <w:t xml:space="preserve"> </w:t>
            </w:r>
            <w:r w:rsidR="00577CC7">
              <w:rPr>
                <w:b/>
                <w:i/>
                <w:sz w:val="24"/>
                <w:szCs w:val="24"/>
              </w:rPr>
              <w:t xml:space="preserve"> (</w:t>
            </w:r>
            <w:r w:rsidR="009015B3">
              <w:rPr>
                <w:b/>
                <w:i/>
                <w:sz w:val="24"/>
                <w:szCs w:val="24"/>
              </w:rPr>
              <w:t>Займодавец</w:t>
            </w:r>
            <w:r w:rsidR="00577CC7">
              <w:rPr>
                <w:b/>
                <w:i/>
                <w:sz w:val="24"/>
                <w:szCs w:val="24"/>
              </w:rPr>
              <w:t>)</w:t>
            </w:r>
            <w:r w:rsidR="000874EA">
              <w:rPr>
                <w:b/>
                <w:i/>
                <w:sz w:val="24"/>
                <w:szCs w:val="24"/>
              </w:rPr>
              <w:t>.</w:t>
            </w:r>
          </w:p>
          <w:p w:rsidR="00B75072" w:rsidRDefault="00B75072" w:rsidP="00E73710">
            <w:pPr>
              <w:tabs>
                <w:tab w:val="left" w:pos="284"/>
                <w:tab w:val="left" w:pos="709"/>
              </w:tabs>
              <w:jc w:val="both"/>
              <w:rPr>
                <w:b/>
                <w:i/>
                <w:sz w:val="24"/>
                <w:szCs w:val="24"/>
              </w:rPr>
            </w:pPr>
            <w:r>
              <w:rPr>
                <w:b/>
                <w:i/>
                <w:sz w:val="24"/>
                <w:szCs w:val="24"/>
              </w:rPr>
              <w:t xml:space="preserve">- </w:t>
            </w:r>
            <w:r w:rsidR="0071737E">
              <w:rPr>
                <w:b/>
                <w:i/>
                <w:sz w:val="24"/>
                <w:szCs w:val="24"/>
              </w:rPr>
              <w:t>5</w:t>
            </w:r>
            <w:r w:rsidR="009B6D32" w:rsidRPr="009B6D32">
              <w:rPr>
                <w:b/>
                <w:i/>
                <w:sz w:val="24"/>
                <w:szCs w:val="24"/>
              </w:rPr>
              <w:t>00 000 000,00 (</w:t>
            </w:r>
            <w:r w:rsidR="0071737E">
              <w:rPr>
                <w:b/>
                <w:i/>
                <w:sz w:val="24"/>
                <w:szCs w:val="24"/>
              </w:rPr>
              <w:t>Пятьсот</w:t>
            </w:r>
            <w:r w:rsidR="009B6D32" w:rsidRPr="009B6D32">
              <w:rPr>
                <w:b/>
                <w:i/>
                <w:sz w:val="24"/>
                <w:szCs w:val="24"/>
              </w:rPr>
              <w:t xml:space="preserve"> миллионов) рублей 00 копеек</w:t>
            </w:r>
            <w:r w:rsidR="000C112B">
              <w:rPr>
                <w:b/>
                <w:i/>
                <w:sz w:val="24"/>
                <w:szCs w:val="24"/>
              </w:rPr>
              <w:t>;</w:t>
            </w:r>
          </w:p>
          <w:p w:rsidR="000C112B" w:rsidRDefault="000C112B" w:rsidP="00E73710">
            <w:pPr>
              <w:tabs>
                <w:tab w:val="left" w:pos="284"/>
                <w:tab w:val="left" w:pos="709"/>
              </w:tabs>
              <w:jc w:val="both"/>
              <w:rPr>
                <w:b/>
                <w:i/>
                <w:sz w:val="24"/>
                <w:szCs w:val="24"/>
              </w:rPr>
            </w:pPr>
            <w:r>
              <w:rPr>
                <w:b/>
                <w:i/>
                <w:sz w:val="24"/>
                <w:szCs w:val="24"/>
              </w:rPr>
              <w:t xml:space="preserve"> - </w:t>
            </w:r>
            <w:r w:rsidR="0071737E">
              <w:rPr>
                <w:b/>
                <w:i/>
                <w:sz w:val="24"/>
                <w:szCs w:val="24"/>
              </w:rPr>
              <w:t>24,67</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9778D6" w:rsidP="00E73710">
            <w:pPr>
              <w:tabs>
                <w:tab w:val="left" w:pos="284"/>
                <w:tab w:val="left" w:pos="709"/>
              </w:tabs>
              <w:jc w:val="both"/>
              <w:rPr>
                <w:b/>
                <w:i/>
                <w:sz w:val="24"/>
                <w:szCs w:val="24"/>
              </w:rPr>
            </w:pPr>
            <w:r w:rsidRPr="009778D6">
              <w:rPr>
                <w:b/>
                <w:i/>
                <w:sz w:val="24"/>
                <w:szCs w:val="24"/>
              </w:rPr>
              <w:t xml:space="preserve">2 026 567 000 </w:t>
            </w:r>
            <w:r>
              <w:rPr>
                <w:b/>
                <w:i/>
                <w:sz w:val="24"/>
                <w:szCs w:val="24"/>
              </w:rPr>
              <w:t xml:space="preserve">(Два миллиарда двадцать шесть миллионов пятьсот шестьдесят семь тысяч) </w:t>
            </w:r>
            <w:r w:rsidRPr="009778D6">
              <w:rPr>
                <w:b/>
                <w:i/>
                <w:sz w:val="24"/>
                <w:szCs w:val="24"/>
              </w:rPr>
              <w:t>рублей</w:t>
            </w:r>
            <w:r>
              <w:rPr>
                <w:b/>
                <w:i/>
                <w:sz w:val="24"/>
                <w:szCs w:val="24"/>
              </w:rPr>
              <w:t xml:space="preserve"> по состоянию на 31.03.2016 г.</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2B3B24">
              <w:rPr>
                <w:b/>
                <w:i/>
                <w:sz w:val="24"/>
                <w:szCs w:val="24"/>
              </w:rPr>
              <w:t>30</w:t>
            </w:r>
            <w:r w:rsidR="00577CC7" w:rsidRPr="00577CC7">
              <w:rPr>
                <w:b/>
                <w:i/>
                <w:sz w:val="24"/>
                <w:szCs w:val="24"/>
              </w:rPr>
              <w:t>»</w:t>
            </w:r>
            <w:r w:rsidR="002F187B" w:rsidRPr="002F187B">
              <w:rPr>
                <w:b/>
                <w:i/>
                <w:sz w:val="24"/>
                <w:szCs w:val="24"/>
              </w:rPr>
              <w:t xml:space="preserve"> </w:t>
            </w:r>
            <w:r w:rsidR="00AE32A2">
              <w:rPr>
                <w:b/>
                <w:i/>
                <w:sz w:val="24"/>
                <w:szCs w:val="24"/>
              </w:rPr>
              <w:t>июня</w:t>
            </w:r>
            <w:r w:rsidR="009A41C4">
              <w:rPr>
                <w:b/>
                <w:i/>
                <w:sz w:val="24"/>
                <w:szCs w:val="24"/>
              </w:rPr>
              <w:t xml:space="preserve"> </w:t>
            </w:r>
            <w:r w:rsidR="002F187B" w:rsidRPr="002F187B">
              <w:rPr>
                <w:b/>
                <w:i/>
                <w:sz w:val="24"/>
                <w:szCs w:val="24"/>
              </w:rPr>
              <w:t>201</w:t>
            </w:r>
            <w:r w:rsidR="009B6D32">
              <w:rPr>
                <w:b/>
                <w:i/>
                <w:sz w:val="24"/>
                <w:szCs w:val="24"/>
              </w:rPr>
              <w:t>6</w:t>
            </w:r>
            <w:r w:rsidR="002F187B" w:rsidRPr="002F187B">
              <w:rPr>
                <w:b/>
                <w:i/>
                <w:sz w:val="24"/>
                <w:szCs w:val="24"/>
              </w:rPr>
              <w:t xml:space="preserve"> г.</w:t>
            </w:r>
          </w:p>
          <w:p w:rsidR="00E73710" w:rsidRPr="00E73710" w:rsidRDefault="00E73710" w:rsidP="00E73710">
            <w:pPr>
              <w:tabs>
                <w:tab w:val="left" w:pos="284"/>
                <w:tab w:val="left" w:pos="709"/>
              </w:tabs>
              <w:jc w:val="both"/>
              <w:rPr>
                <w:sz w:val="24"/>
                <w:szCs w:val="24"/>
              </w:rPr>
            </w:pPr>
            <w:r>
              <w:rPr>
                <w:sz w:val="24"/>
                <w:szCs w:val="24"/>
              </w:rPr>
              <w:lastRenderedPageBreak/>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p>
          <w:p w:rsidR="003333AA" w:rsidRPr="00F25E09" w:rsidRDefault="00FE0AD4" w:rsidP="00F25E09">
            <w:pPr>
              <w:tabs>
                <w:tab w:val="left" w:pos="284"/>
                <w:tab w:val="left" w:pos="709"/>
              </w:tabs>
              <w:jc w:val="both"/>
              <w:rPr>
                <w:b/>
                <w:i/>
                <w:sz w:val="24"/>
                <w:szCs w:val="24"/>
              </w:rPr>
            </w:pPr>
            <w:r w:rsidRPr="000434FA">
              <w:rPr>
                <w:b/>
                <w:i/>
                <w:sz w:val="24"/>
                <w:szCs w:val="24"/>
              </w:rPr>
              <w:t xml:space="preserve">Сделка </w:t>
            </w:r>
            <w:r w:rsidR="00F25E09" w:rsidRPr="000434FA">
              <w:rPr>
                <w:b/>
                <w:i/>
                <w:sz w:val="24"/>
                <w:szCs w:val="24"/>
              </w:rPr>
              <w:t>не подлежит одобрению</w:t>
            </w:r>
            <w:r w:rsidR="005648C5" w:rsidRPr="000434FA">
              <w:rPr>
                <w:b/>
                <w:i/>
                <w:sz w:val="24"/>
                <w:szCs w:val="24"/>
              </w:rPr>
              <w:t>;</w:t>
            </w:r>
            <w:r w:rsidR="00F25E09" w:rsidRPr="000434FA">
              <w:rPr>
                <w:b/>
                <w:i/>
                <w:sz w:val="24"/>
                <w:szCs w:val="24"/>
              </w:rPr>
              <w:t xml:space="preserve"> уполномоченным органом управления эмитента </w:t>
            </w:r>
            <w:r w:rsidRPr="000434FA">
              <w:rPr>
                <w:b/>
                <w:i/>
                <w:sz w:val="24"/>
                <w:szCs w:val="24"/>
              </w:rPr>
              <w:t>не одобрялась.</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000B6F" w:rsidP="00D512F4">
            <w:pPr>
              <w:jc w:val="both"/>
              <w:rPr>
                <w:sz w:val="24"/>
                <w:szCs w:val="24"/>
              </w:rPr>
            </w:pPr>
            <w:r>
              <w:rPr>
                <w:sz w:val="24"/>
                <w:szCs w:val="24"/>
              </w:rPr>
              <w:t>01</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F5EE8" w:rsidP="00000B6F">
            <w:pPr>
              <w:jc w:val="both"/>
              <w:rPr>
                <w:sz w:val="24"/>
                <w:szCs w:val="24"/>
              </w:rPr>
            </w:pPr>
            <w:r>
              <w:rPr>
                <w:sz w:val="24"/>
                <w:szCs w:val="24"/>
              </w:rPr>
              <w:t>ию</w:t>
            </w:r>
            <w:r w:rsidR="00000B6F">
              <w:rPr>
                <w:sz w:val="24"/>
                <w:szCs w:val="24"/>
              </w:rPr>
              <w:t>л</w:t>
            </w:r>
            <w:r>
              <w:rPr>
                <w:sz w:val="24"/>
                <w:szCs w:val="24"/>
              </w:rPr>
              <w:t>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7A" w:rsidRDefault="0089317A">
      <w:r>
        <w:separator/>
      </w:r>
    </w:p>
  </w:endnote>
  <w:endnote w:type="continuationSeparator" w:id="0">
    <w:p w:rsidR="0089317A" w:rsidRDefault="0089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7A" w:rsidRDefault="0089317A">
      <w:r>
        <w:separator/>
      </w:r>
    </w:p>
  </w:footnote>
  <w:footnote w:type="continuationSeparator" w:id="0">
    <w:p w:rsidR="0089317A" w:rsidRDefault="0089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5431"/>
    <w:rsid w:val="001C115F"/>
    <w:rsid w:val="001E2925"/>
    <w:rsid w:val="001E2D44"/>
    <w:rsid w:val="0020695B"/>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6BB9"/>
    <w:rsid w:val="004254E4"/>
    <w:rsid w:val="00435A2B"/>
    <w:rsid w:val="00460069"/>
    <w:rsid w:val="004A372C"/>
    <w:rsid w:val="004D064C"/>
    <w:rsid w:val="004E094F"/>
    <w:rsid w:val="004F046D"/>
    <w:rsid w:val="00540805"/>
    <w:rsid w:val="00555D43"/>
    <w:rsid w:val="005648C5"/>
    <w:rsid w:val="00577345"/>
    <w:rsid w:val="00577CC7"/>
    <w:rsid w:val="0058067A"/>
    <w:rsid w:val="005923F9"/>
    <w:rsid w:val="00597D10"/>
    <w:rsid w:val="005C6D07"/>
    <w:rsid w:val="005F2C27"/>
    <w:rsid w:val="005F4D0E"/>
    <w:rsid w:val="00617A06"/>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9317A"/>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A2375"/>
    <w:rsid w:val="00AB3E61"/>
    <w:rsid w:val="00AE32A2"/>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1A84"/>
    <w:rsid w:val="00CB3AD3"/>
    <w:rsid w:val="00CC294F"/>
    <w:rsid w:val="00CC3EE8"/>
    <w:rsid w:val="00CE6ABA"/>
    <w:rsid w:val="00CF024A"/>
    <w:rsid w:val="00D05981"/>
    <w:rsid w:val="00D14C69"/>
    <w:rsid w:val="00D17BBD"/>
    <w:rsid w:val="00D3360C"/>
    <w:rsid w:val="00D417CE"/>
    <w:rsid w:val="00D512F4"/>
    <w:rsid w:val="00D52D09"/>
    <w:rsid w:val="00D56660"/>
    <w:rsid w:val="00D57A90"/>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78DA"/>
    <w:rsid w:val="00E311B9"/>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2016-07-04T06:35:00Z</dcterms:created>
  <dcterms:modified xsi:type="dcterms:W3CDTF">2016-07-04T06:35:00Z</dcterms:modified>
</cp:coreProperties>
</file>