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D05981" w:rsidRPr="00242F28" w:rsidRDefault="00ED1644" w:rsidP="008D7F5F">
      <w:pPr>
        <w:spacing w:before="240"/>
        <w:jc w:val="center"/>
        <w:rPr>
          <w:b/>
          <w:bCs/>
          <w:sz w:val="24"/>
          <w:szCs w:val="24"/>
        </w:rPr>
      </w:pPr>
      <w:r w:rsidRPr="00242F28">
        <w:rPr>
          <w:b/>
          <w:bCs/>
          <w:sz w:val="24"/>
          <w:szCs w:val="24"/>
        </w:rPr>
        <w:t>о существенном факте</w:t>
      </w:r>
      <w:r w:rsidR="008D7F5F">
        <w:rPr>
          <w:b/>
          <w:bCs/>
          <w:sz w:val="24"/>
          <w:szCs w:val="24"/>
        </w:rPr>
        <w:t xml:space="preserve"> </w:t>
      </w:r>
      <w:r w:rsidR="008D7F5F">
        <w:rPr>
          <w:b/>
          <w:bCs/>
          <w:sz w:val="26"/>
          <w:szCs w:val="26"/>
        </w:rPr>
        <w:t xml:space="preserve">о </w:t>
      </w:r>
      <w:r w:rsidR="00DB412D">
        <w:rPr>
          <w:b/>
          <w:bCs/>
          <w:sz w:val="26"/>
          <w:szCs w:val="26"/>
        </w:rPr>
        <w:t>прекращении у</w:t>
      </w:r>
      <w:r w:rsidR="008D7F5F">
        <w:rPr>
          <w:b/>
          <w:bCs/>
          <w:sz w:val="26"/>
          <w:szCs w:val="26"/>
        </w:rPr>
        <w:t xml:space="preserve"> лиц</w:t>
      </w:r>
      <w:r w:rsidR="00DB412D">
        <w:rPr>
          <w:b/>
          <w:bCs/>
          <w:sz w:val="26"/>
          <w:szCs w:val="26"/>
        </w:rPr>
        <w:t>а</w:t>
      </w:r>
      <w:r w:rsidR="008D7F5F">
        <w:rPr>
          <w:b/>
          <w:bCs/>
          <w:sz w:val="26"/>
          <w:szCs w:val="26"/>
        </w:rPr>
        <w:t xml:space="preserve"> права</w:t>
      </w:r>
      <w:r w:rsidR="006B2760" w:rsidRPr="006B2760">
        <w:rPr>
          <w:b/>
          <w:bCs/>
          <w:sz w:val="26"/>
          <w:szCs w:val="26"/>
        </w:rPr>
        <w:t xml:space="preserve"> </w:t>
      </w:r>
      <w:r w:rsidR="008D7F5F">
        <w:rPr>
          <w:b/>
          <w:bCs/>
          <w:sz w:val="26"/>
          <w:szCs w:val="26"/>
        </w:rPr>
        <w:t>распоряжаться определенным количеством голосов,</w:t>
      </w:r>
      <w:r w:rsidR="006B2760" w:rsidRPr="006B2760">
        <w:rPr>
          <w:b/>
          <w:bCs/>
          <w:sz w:val="26"/>
          <w:szCs w:val="26"/>
        </w:rPr>
        <w:t xml:space="preserve"> </w:t>
      </w:r>
      <w:r w:rsidR="008D7F5F">
        <w:rPr>
          <w:b/>
          <w:bCs/>
          <w:sz w:val="26"/>
          <w:szCs w:val="26"/>
        </w:rPr>
        <w:t>приходящихся на голосующие акции (доли), составляющие уставный капитал эмитента</w:t>
      </w:r>
    </w:p>
    <w:p w:rsidR="00D61BD9" w:rsidRDefault="00D61BD9" w:rsidP="008D7F5F">
      <w:pPr>
        <w:ind w:left="1134" w:right="1134"/>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RPr="008639F2">
        <w:tblPrEx>
          <w:tblCellMar>
            <w:top w:w="0" w:type="dxa"/>
            <w:bottom w:w="0" w:type="dxa"/>
          </w:tblCellMar>
        </w:tblPrEx>
        <w:trPr>
          <w:cantSplit/>
        </w:trPr>
        <w:tc>
          <w:tcPr>
            <w:tcW w:w="9979" w:type="dxa"/>
            <w:gridSpan w:val="2"/>
          </w:tcPr>
          <w:p w:rsidR="00D05981" w:rsidRPr="008639F2" w:rsidRDefault="00D05981">
            <w:pPr>
              <w:jc w:val="center"/>
              <w:rPr>
                <w:sz w:val="22"/>
                <w:szCs w:val="22"/>
              </w:rPr>
            </w:pPr>
            <w:r w:rsidRPr="008639F2">
              <w:rPr>
                <w:sz w:val="22"/>
                <w:szCs w:val="22"/>
              </w:rPr>
              <w:t>1. Общие сведения</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1.1. Полное фирменное наименование эмитента (для некоммерческой организации – наименование)</w:t>
            </w:r>
          </w:p>
        </w:tc>
        <w:tc>
          <w:tcPr>
            <w:tcW w:w="5046" w:type="dxa"/>
          </w:tcPr>
          <w:p w:rsidR="00D05981" w:rsidRPr="008639F2" w:rsidRDefault="00D3360C">
            <w:pPr>
              <w:ind w:left="57" w:right="57"/>
              <w:jc w:val="both"/>
              <w:rPr>
                <w:sz w:val="22"/>
                <w:szCs w:val="22"/>
              </w:rPr>
            </w:pPr>
            <w:r w:rsidRPr="008639F2">
              <w:rPr>
                <w:sz w:val="22"/>
                <w:szCs w:val="22"/>
              </w:rPr>
              <w:t>Открытое акционерное общество «Московский металлургический завод «Серп и Молот»</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1.2. Сокращенное фирменное наименование эмитента</w:t>
            </w:r>
          </w:p>
        </w:tc>
        <w:tc>
          <w:tcPr>
            <w:tcW w:w="5046" w:type="dxa"/>
          </w:tcPr>
          <w:p w:rsidR="00D05981" w:rsidRPr="008639F2" w:rsidRDefault="00D3360C">
            <w:pPr>
              <w:ind w:left="57" w:right="57"/>
              <w:jc w:val="both"/>
              <w:rPr>
                <w:sz w:val="22"/>
                <w:szCs w:val="22"/>
              </w:rPr>
            </w:pPr>
            <w:r w:rsidRPr="008639F2">
              <w:rPr>
                <w:sz w:val="22"/>
                <w:szCs w:val="22"/>
              </w:rPr>
              <w:t>ОАО «СиМ СТ»</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1.3. Место нахождения эмитента</w:t>
            </w:r>
          </w:p>
        </w:tc>
        <w:tc>
          <w:tcPr>
            <w:tcW w:w="5046" w:type="dxa"/>
          </w:tcPr>
          <w:p w:rsidR="00D05981" w:rsidRPr="008639F2" w:rsidRDefault="005C6D07">
            <w:pPr>
              <w:ind w:left="57" w:right="57"/>
              <w:jc w:val="both"/>
              <w:rPr>
                <w:sz w:val="22"/>
                <w:szCs w:val="22"/>
              </w:rPr>
            </w:pPr>
            <w:r w:rsidRPr="008639F2">
              <w:rPr>
                <w:sz w:val="22"/>
                <w:szCs w:val="22"/>
              </w:rPr>
              <w:t>1</w:t>
            </w:r>
            <w:r w:rsidR="00D3360C" w:rsidRPr="008639F2">
              <w:rPr>
                <w:sz w:val="22"/>
                <w:szCs w:val="22"/>
              </w:rPr>
              <w:t>11033, г. Москва, Золоторожский вал, д. 11</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1.4. ОГРН эмитента</w:t>
            </w:r>
          </w:p>
        </w:tc>
        <w:tc>
          <w:tcPr>
            <w:tcW w:w="5046" w:type="dxa"/>
          </w:tcPr>
          <w:p w:rsidR="00D05981" w:rsidRPr="008639F2" w:rsidRDefault="00D3360C">
            <w:pPr>
              <w:ind w:left="57" w:right="57"/>
              <w:jc w:val="both"/>
              <w:rPr>
                <w:sz w:val="22"/>
                <w:szCs w:val="22"/>
              </w:rPr>
            </w:pPr>
            <w:r w:rsidRPr="008639F2">
              <w:rPr>
                <w:sz w:val="22"/>
                <w:szCs w:val="22"/>
              </w:rPr>
              <w:t>1027700045185</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1.5. ИНН эмитента</w:t>
            </w:r>
          </w:p>
        </w:tc>
        <w:tc>
          <w:tcPr>
            <w:tcW w:w="5046" w:type="dxa"/>
          </w:tcPr>
          <w:p w:rsidR="00D05981" w:rsidRPr="008639F2" w:rsidRDefault="00D3360C">
            <w:pPr>
              <w:ind w:left="57" w:right="57"/>
              <w:jc w:val="both"/>
              <w:rPr>
                <w:sz w:val="22"/>
                <w:szCs w:val="22"/>
              </w:rPr>
            </w:pPr>
            <w:r w:rsidRPr="008639F2">
              <w:rPr>
                <w:sz w:val="22"/>
                <w:szCs w:val="22"/>
              </w:rPr>
              <w:t>7722024564</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1.6. Уникальный код эмитента, присвоенный регистрирующим органом</w:t>
            </w:r>
          </w:p>
        </w:tc>
        <w:tc>
          <w:tcPr>
            <w:tcW w:w="5046" w:type="dxa"/>
          </w:tcPr>
          <w:p w:rsidR="00D05981" w:rsidRPr="008639F2" w:rsidRDefault="00D3360C">
            <w:pPr>
              <w:ind w:left="57" w:right="57"/>
              <w:jc w:val="both"/>
              <w:rPr>
                <w:sz w:val="22"/>
                <w:szCs w:val="22"/>
              </w:rPr>
            </w:pPr>
            <w:r w:rsidRPr="008639F2">
              <w:rPr>
                <w:sz w:val="22"/>
                <w:szCs w:val="22"/>
              </w:rPr>
              <w:t>00946-А</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1.7. Адрес страницы в сети Интернет, используемой эмитентом для раскрытия информации</w:t>
            </w:r>
          </w:p>
        </w:tc>
        <w:tc>
          <w:tcPr>
            <w:tcW w:w="5046" w:type="dxa"/>
          </w:tcPr>
          <w:p w:rsidR="00D05981" w:rsidRPr="008639F2" w:rsidRDefault="00D05981" w:rsidP="00D05981">
            <w:pPr>
              <w:ind w:right="57"/>
              <w:jc w:val="both"/>
              <w:rPr>
                <w:sz w:val="22"/>
                <w:szCs w:val="22"/>
              </w:rPr>
            </w:pPr>
            <w:hyperlink r:id="rId8" w:history="1">
              <w:r w:rsidRPr="008639F2">
                <w:rPr>
                  <w:rStyle w:val="a7"/>
                  <w:sz w:val="22"/>
                  <w:szCs w:val="22"/>
                  <w:lang w:val="en-US"/>
                </w:rPr>
                <w:t>http</w:t>
              </w:r>
              <w:r w:rsidRPr="008639F2">
                <w:rPr>
                  <w:rStyle w:val="a7"/>
                  <w:sz w:val="22"/>
                  <w:szCs w:val="22"/>
                </w:rPr>
                <w:t>://</w:t>
              </w:r>
              <w:r w:rsidRPr="008639F2">
                <w:rPr>
                  <w:rStyle w:val="a7"/>
                  <w:sz w:val="22"/>
                  <w:szCs w:val="22"/>
                  <w:lang w:val="en-US"/>
                </w:rPr>
                <w:t>www</w:t>
              </w:r>
              <w:r w:rsidRPr="008639F2">
                <w:rPr>
                  <w:rStyle w:val="a7"/>
                  <w:sz w:val="22"/>
                  <w:szCs w:val="22"/>
                </w:rPr>
                <w:t>.</w:t>
              </w:r>
              <w:r w:rsidRPr="008639F2">
                <w:rPr>
                  <w:rStyle w:val="a7"/>
                  <w:sz w:val="22"/>
                  <w:szCs w:val="22"/>
                  <w:lang w:val="en-US"/>
                </w:rPr>
                <w:t>sim</w:t>
              </w:r>
              <w:r w:rsidRPr="008639F2">
                <w:rPr>
                  <w:rStyle w:val="a7"/>
                  <w:sz w:val="22"/>
                  <w:szCs w:val="22"/>
                </w:rPr>
                <w:t>-</w:t>
              </w:r>
              <w:r w:rsidRPr="008639F2">
                <w:rPr>
                  <w:rStyle w:val="a7"/>
                  <w:sz w:val="22"/>
                  <w:szCs w:val="22"/>
                  <w:lang w:val="en-US"/>
                </w:rPr>
                <w:t>st</w:t>
              </w:r>
              <w:r w:rsidRPr="008639F2">
                <w:rPr>
                  <w:rStyle w:val="a7"/>
                  <w:sz w:val="22"/>
                  <w:szCs w:val="22"/>
                </w:rPr>
                <w:t>.</w:t>
              </w:r>
              <w:r w:rsidRPr="008639F2">
                <w:rPr>
                  <w:rStyle w:val="a7"/>
                  <w:sz w:val="22"/>
                  <w:szCs w:val="22"/>
                  <w:lang w:val="en-US"/>
                </w:rPr>
                <w:t>com</w:t>
              </w:r>
              <w:r w:rsidRPr="008639F2">
                <w:rPr>
                  <w:rStyle w:val="a7"/>
                  <w:sz w:val="22"/>
                  <w:szCs w:val="22"/>
                </w:rPr>
                <w:t>/</w:t>
              </w:r>
              <w:r w:rsidRPr="008639F2">
                <w:rPr>
                  <w:rStyle w:val="a7"/>
                  <w:sz w:val="22"/>
                  <w:szCs w:val="22"/>
                  <w:lang w:val="en-US"/>
                </w:rPr>
                <w:t>okom</w:t>
              </w:r>
              <w:r w:rsidRPr="008639F2">
                <w:rPr>
                  <w:rStyle w:val="a7"/>
                  <w:sz w:val="22"/>
                  <w:szCs w:val="22"/>
                </w:rPr>
                <w:t>.</w:t>
              </w:r>
              <w:r w:rsidRPr="008639F2">
                <w:rPr>
                  <w:rStyle w:val="a7"/>
                  <w:sz w:val="22"/>
                  <w:szCs w:val="22"/>
                  <w:lang w:val="en-US"/>
                </w:rPr>
                <w:t>htm</w:t>
              </w:r>
            </w:hyperlink>
          </w:p>
          <w:p w:rsidR="00D05981" w:rsidRPr="008639F2" w:rsidRDefault="00ED1644" w:rsidP="00D05981">
            <w:pPr>
              <w:ind w:right="57"/>
              <w:jc w:val="both"/>
              <w:rPr>
                <w:sz w:val="22"/>
                <w:szCs w:val="22"/>
              </w:rPr>
            </w:pPr>
            <w:hyperlink r:id="rId9" w:history="1">
              <w:r w:rsidRPr="008639F2">
                <w:rPr>
                  <w:rStyle w:val="a7"/>
                  <w:sz w:val="22"/>
                  <w:szCs w:val="22"/>
                  <w:lang w:val="en-US"/>
                </w:rPr>
                <w:t>http</w:t>
              </w:r>
              <w:r w:rsidRPr="008639F2">
                <w:rPr>
                  <w:rStyle w:val="a7"/>
                  <w:sz w:val="22"/>
                  <w:szCs w:val="22"/>
                </w:rPr>
                <w:t>://</w:t>
              </w:r>
              <w:r w:rsidRPr="008639F2">
                <w:rPr>
                  <w:rStyle w:val="a7"/>
                  <w:sz w:val="22"/>
                  <w:szCs w:val="22"/>
                  <w:lang w:val="en-US"/>
                </w:rPr>
                <w:t>www</w:t>
              </w:r>
              <w:r w:rsidRPr="008639F2">
                <w:rPr>
                  <w:rStyle w:val="a7"/>
                  <w:sz w:val="22"/>
                  <w:szCs w:val="22"/>
                </w:rPr>
                <w:t>.</w:t>
              </w:r>
              <w:r w:rsidRPr="008639F2">
                <w:rPr>
                  <w:rStyle w:val="a7"/>
                  <w:sz w:val="22"/>
                  <w:szCs w:val="22"/>
                  <w:lang w:val="en-US"/>
                </w:rPr>
                <w:t>e</w:t>
              </w:r>
              <w:r w:rsidRPr="008639F2">
                <w:rPr>
                  <w:rStyle w:val="a7"/>
                  <w:sz w:val="22"/>
                  <w:szCs w:val="22"/>
                </w:rPr>
                <w:t>-</w:t>
              </w:r>
              <w:r w:rsidRPr="008639F2">
                <w:rPr>
                  <w:rStyle w:val="a7"/>
                  <w:sz w:val="22"/>
                  <w:szCs w:val="22"/>
                  <w:lang w:val="en-US"/>
                </w:rPr>
                <w:t>disclosure</w:t>
              </w:r>
              <w:r w:rsidRPr="008639F2">
                <w:rPr>
                  <w:rStyle w:val="a7"/>
                  <w:sz w:val="22"/>
                  <w:szCs w:val="22"/>
                </w:rPr>
                <w:t>.</w:t>
              </w:r>
              <w:r w:rsidRPr="008639F2">
                <w:rPr>
                  <w:rStyle w:val="a7"/>
                  <w:sz w:val="22"/>
                  <w:szCs w:val="22"/>
                  <w:lang w:val="en-US"/>
                </w:rPr>
                <w:t>ru</w:t>
              </w:r>
              <w:r w:rsidRPr="008639F2">
                <w:rPr>
                  <w:rStyle w:val="a7"/>
                  <w:sz w:val="22"/>
                  <w:szCs w:val="22"/>
                </w:rPr>
                <w:t>/</w:t>
              </w:r>
              <w:r w:rsidRPr="008639F2">
                <w:rPr>
                  <w:rStyle w:val="a7"/>
                  <w:sz w:val="22"/>
                  <w:szCs w:val="22"/>
                  <w:lang w:val="en-US"/>
                </w:rPr>
                <w:t>portal</w:t>
              </w:r>
              <w:r w:rsidRPr="008639F2">
                <w:rPr>
                  <w:rStyle w:val="a7"/>
                  <w:sz w:val="22"/>
                  <w:szCs w:val="22"/>
                </w:rPr>
                <w:t>/</w:t>
              </w:r>
              <w:r w:rsidRPr="008639F2">
                <w:rPr>
                  <w:rStyle w:val="a7"/>
                  <w:sz w:val="22"/>
                  <w:szCs w:val="22"/>
                  <w:lang w:val="en-US"/>
                </w:rPr>
                <w:t>company</w:t>
              </w:r>
              <w:r w:rsidRPr="008639F2">
                <w:rPr>
                  <w:rStyle w:val="a7"/>
                  <w:sz w:val="22"/>
                  <w:szCs w:val="22"/>
                </w:rPr>
                <w:t>.</w:t>
              </w:r>
              <w:r w:rsidRPr="008639F2">
                <w:rPr>
                  <w:rStyle w:val="a7"/>
                  <w:sz w:val="22"/>
                  <w:szCs w:val="22"/>
                  <w:lang w:val="en-US"/>
                </w:rPr>
                <w:t>aspx</w:t>
              </w:r>
              <w:r w:rsidRPr="008639F2">
                <w:rPr>
                  <w:rStyle w:val="a7"/>
                  <w:sz w:val="22"/>
                  <w:szCs w:val="22"/>
                </w:rPr>
                <w:t>?</w:t>
              </w:r>
              <w:r w:rsidRPr="008639F2">
                <w:rPr>
                  <w:rStyle w:val="a7"/>
                  <w:sz w:val="22"/>
                  <w:szCs w:val="22"/>
                  <w:lang w:val="en-US"/>
                </w:rPr>
                <w:t>id</w:t>
              </w:r>
              <w:r w:rsidRPr="008639F2">
                <w:rPr>
                  <w:rStyle w:val="a7"/>
                  <w:sz w:val="22"/>
                  <w:szCs w:val="22"/>
                </w:rPr>
                <w:t>=1849</w:t>
              </w:r>
            </w:hyperlink>
          </w:p>
          <w:p w:rsidR="00ED1644" w:rsidRPr="008639F2" w:rsidRDefault="00ED1644" w:rsidP="00D05981">
            <w:pPr>
              <w:ind w:right="57"/>
              <w:jc w:val="both"/>
              <w:rPr>
                <w:sz w:val="22"/>
                <w:szCs w:val="22"/>
              </w:rPr>
            </w:pPr>
          </w:p>
        </w:tc>
      </w:tr>
    </w:tbl>
    <w:p w:rsidR="00D05981" w:rsidRPr="008639F2" w:rsidRDefault="00D0598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rsidRPr="008639F2">
        <w:tblPrEx>
          <w:tblCellMar>
            <w:top w:w="0" w:type="dxa"/>
            <w:bottom w:w="0" w:type="dxa"/>
          </w:tblCellMar>
        </w:tblPrEx>
        <w:tc>
          <w:tcPr>
            <w:tcW w:w="9979" w:type="dxa"/>
          </w:tcPr>
          <w:p w:rsidR="00D05981" w:rsidRPr="008639F2" w:rsidRDefault="00D05981">
            <w:pPr>
              <w:jc w:val="center"/>
              <w:rPr>
                <w:sz w:val="22"/>
                <w:szCs w:val="22"/>
              </w:rPr>
            </w:pPr>
            <w:r w:rsidRPr="008639F2">
              <w:rPr>
                <w:sz w:val="22"/>
                <w:szCs w:val="22"/>
              </w:rPr>
              <w:t>2. Содержание сообщения</w:t>
            </w:r>
          </w:p>
        </w:tc>
      </w:tr>
      <w:tr w:rsidR="00D05981" w:rsidRPr="008639F2">
        <w:tblPrEx>
          <w:tblCellMar>
            <w:top w:w="0" w:type="dxa"/>
            <w:bottom w:w="0" w:type="dxa"/>
          </w:tblCellMar>
        </w:tblPrEx>
        <w:trPr>
          <w:trHeight w:val="1971"/>
        </w:trPr>
        <w:tc>
          <w:tcPr>
            <w:tcW w:w="9979" w:type="dxa"/>
          </w:tcPr>
          <w:p w:rsidR="00CE443E" w:rsidRPr="008639F2" w:rsidRDefault="00CE443E" w:rsidP="00CE443E">
            <w:pPr>
              <w:pStyle w:val="ConsPlusNormal"/>
              <w:jc w:val="both"/>
              <w:rPr>
                <w:b w:val="0"/>
                <w:sz w:val="22"/>
                <w:szCs w:val="22"/>
              </w:rPr>
            </w:pPr>
            <w:r w:rsidRPr="008639F2">
              <w:rPr>
                <w:b w:val="0"/>
                <w:sz w:val="22"/>
                <w:szCs w:val="22"/>
              </w:rPr>
              <w:t xml:space="preserve">2.1. 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 у которого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8639F2">
              <w:rPr>
                <w:i/>
                <w:sz w:val="22"/>
                <w:szCs w:val="22"/>
              </w:rPr>
              <w:t>Акционерное общество «Мегаполис МСК», место нахождения: 119331, г. Москва, Проспект Вернадского, д. 29, комната 5, ИНН 7701991313, ОГРН 1137746206344.</w:t>
            </w:r>
          </w:p>
          <w:p w:rsidR="00CE443E" w:rsidRPr="008639F2" w:rsidRDefault="00CE443E" w:rsidP="00CE443E">
            <w:pPr>
              <w:pStyle w:val="ConsPlusNormal"/>
              <w:jc w:val="both"/>
              <w:rPr>
                <w:i/>
                <w:sz w:val="22"/>
                <w:szCs w:val="22"/>
              </w:rPr>
            </w:pPr>
            <w:r w:rsidRPr="008639F2">
              <w:rPr>
                <w:b w:val="0"/>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(прямое распоряжение; косвенное распоряжение): </w:t>
            </w:r>
            <w:r w:rsidRPr="008639F2">
              <w:rPr>
                <w:i/>
                <w:sz w:val="22"/>
                <w:szCs w:val="22"/>
              </w:rPr>
              <w:t>прямое распоряжение.</w:t>
            </w:r>
          </w:p>
          <w:p w:rsidR="00CE443E" w:rsidRPr="008639F2" w:rsidRDefault="00CE443E" w:rsidP="00CE443E">
            <w:pPr>
              <w:pStyle w:val="ConsPlusNormal"/>
              <w:jc w:val="both"/>
              <w:rPr>
                <w:i/>
                <w:sz w:val="22"/>
                <w:szCs w:val="22"/>
              </w:rPr>
            </w:pPr>
            <w:r w:rsidRPr="008639F2">
              <w:rPr>
                <w:b w:val="0"/>
                <w:sz w:val="22"/>
                <w:szCs w:val="22"/>
              </w:rPr>
              <w:t xml:space="preserve">2.3. В случае если оставшееся после прекращения у лица соответствующего права количество голосов, которым такое лицо имеет право косвенно распоряжаться, составляет пять или более процентов общего количества голосов, приходящихся на голосующие акции (доли), составляющие уставный капитал эмитента,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имеет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w:t>
            </w:r>
            <w:r w:rsidRPr="008639F2">
              <w:rPr>
                <w:i/>
                <w:sz w:val="22"/>
                <w:szCs w:val="22"/>
              </w:rPr>
              <w:t>не применимо.</w:t>
            </w:r>
          </w:p>
          <w:p w:rsidR="00CE443E" w:rsidRPr="008639F2" w:rsidRDefault="00CE443E" w:rsidP="00CE443E">
            <w:pPr>
              <w:pStyle w:val="ConsPlusNormal"/>
              <w:jc w:val="both"/>
              <w:rPr>
                <w:i/>
                <w:sz w:val="22"/>
                <w:szCs w:val="22"/>
              </w:rPr>
            </w:pPr>
            <w:r w:rsidRPr="008639F2">
              <w:rPr>
                <w:b w:val="0"/>
                <w:sz w:val="22"/>
                <w:szCs w:val="22"/>
              </w:rPr>
              <w:t xml:space="preserve">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(самостоятельное распоряжение; совместное распоряжение с иными лицами): </w:t>
            </w:r>
            <w:r w:rsidRPr="008639F2">
              <w:rPr>
                <w:i/>
                <w:sz w:val="22"/>
                <w:szCs w:val="22"/>
              </w:rPr>
              <w:t>самостоятельное распоряжение.</w:t>
            </w:r>
          </w:p>
          <w:p w:rsidR="00CE443E" w:rsidRPr="008639F2" w:rsidRDefault="00CE443E" w:rsidP="00CE443E">
            <w:pPr>
              <w:pStyle w:val="ConsPlusNormal"/>
              <w:jc w:val="both"/>
              <w:rPr>
                <w:i/>
                <w:sz w:val="22"/>
                <w:szCs w:val="22"/>
              </w:rPr>
            </w:pPr>
            <w:r w:rsidRPr="008639F2">
              <w:rPr>
                <w:b w:val="0"/>
                <w:sz w:val="22"/>
                <w:szCs w:val="22"/>
              </w:rPr>
              <w:t xml:space="preserve">2.5. В случае если оставшееся после прекращения у лица соответствующего права количество голосов, которым такое лицо имеет право распоряжаться совместно с иными лицами, составляет пять или более процентов общего количества голосов, приходящихся на голосующие акции (доли), составляющие уставный капитал эмитента,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 </w:t>
            </w:r>
            <w:r w:rsidRPr="008639F2">
              <w:rPr>
                <w:i/>
                <w:sz w:val="22"/>
                <w:szCs w:val="22"/>
              </w:rPr>
              <w:t>не применимо.</w:t>
            </w:r>
          </w:p>
          <w:p w:rsidR="00CE443E" w:rsidRPr="008639F2" w:rsidRDefault="00CE443E" w:rsidP="00CE443E">
            <w:pPr>
              <w:pStyle w:val="ConsPlusNormal"/>
              <w:jc w:val="both"/>
              <w:rPr>
                <w:i/>
                <w:sz w:val="22"/>
                <w:szCs w:val="22"/>
              </w:rPr>
            </w:pPr>
            <w:r w:rsidRPr="008639F2">
              <w:rPr>
                <w:b w:val="0"/>
                <w:sz w:val="22"/>
                <w:szCs w:val="22"/>
              </w:rPr>
              <w:t xml:space="preserve">2.6.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w:t>
            </w:r>
            <w:r w:rsidRPr="008639F2">
              <w:rPr>
                <w:b w:val="0"/>
                <w:sz w:val="22"/>
                <w:szCs w:val="22"/>
              </w:rPr>
              <w:lastRenderedPageBreak/>
              <w:t xml:space="preserve">осуществление прав, удостоверенных акциями (долями) эмитента): </w:t>
            </w:r>
            <w:r w:rsidRPr="008639F2">
              <w:rPr>
                <w:i/>
                <w:sz w:val="22"/>
                <w:szCs w:val="22"/>
              </w:rPr>
              <w:t>снижение доли участия в эмитенте.</w:t>
            </w:r>
          </w:p>
          <w:p w:rsidR="00CE443E" w:rsidRPr="008639F2" w:rsidRDefault="00CE443E" w:rsidP="00CE443E">
            <w:pPr>
              <w:pStyle w:val="ConsPlusNormal"/>
              <w:jc w:val="both"/>
              <w:rPr>
                <w:b w:val="0"/>
                <w:sz w:val="22"/>
                <w:szCs w:val="22"/>
              </w:rPr>
            </w:pPr>
            <w:r w:rsidRPr="008639F2">
              <w:rPr>
                <w:b w:val="0"/>
                <w:sz w:val="22"/>
                <w:szCs w:val="22"/>
              </w:rPr>
              <w:t xml:space="preserve">2.7.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w:t>
            </w:r>
            <w:r w:rsidRPr="008639F2">
              <w:rPr>
                <w:i/>
                <w:sz w:val="22"/>
                <w:szCs w:val="22"/>
              </w:rPr>
              <w:t>343 945 обыкновенных именных акций/22,4445%.</w:t>
            </w:r>
          </w:p>
          <w:p w:rsidR="00CE443E" w:rsidRPr="008639F2" w:rsidRDefault="00CE443E" w:rsidP="00CE443E">
            <w:pPr>
              <w:pStyle w:val="ConsPlusNormal"/>
              <w:jc w:val="both"/>
              <w:rPr>
                <w:i/>
                <w:sz w:val="22"/>
                <w:szCs w:val="22"/>
              </w:rPr>
            </w:pPr>
            <w:r w:rsidRPr="008639F2">
              <w:rPr>
                <w:b w:val="0"/>
                <w:sz w:val="22"/>
                <w:szCs w:val="22"/>
              </w:rPr>
              <w:t xml:space="preserve">2.8. Количество и доля голосов в процентах, приходящихся на голосующие акции (доли), составляющие уставный капитал эмитента, которым имеет право распоряжаться лицо после наступления соответствующего основания: </w:t>
            </w:r>
            <w:r w:rsidRPr="008639F2">
              <w:rPr>
                <w:i/>
                <w:sz w:val="22"/>
                <w:szCs w:val="22"/>
              </w:rPr>
              <w:t>228 945 обыкновенных именных акций/14,94%</w:t>
            </w:r>
          </w:p>
          <w:p w:rsidR="003333AA" w:rsidRPr="008639F2" w:rsidRDefault="00CE443E" w:rsidP="008639F2">
            <w:pPr>
              <w:pStyle w:val="ConsPlusNormal"/>
              <w:jc w:val="both"/>
              <w:rPr>
                <w:sz w:val="22"/>
                <w:szCs w:val="22"/>
              </w:rPr>
            </w:pPr>
            <w:r w:rsidRPr="008639F2">
              <w:rPr>
                <w:b w:val="0"/>
                <w:sz w:val="22"/>
                <w:szCs w:val="22"/>
              </w:rPr>
              <w:t xml:space="preserve">2.9.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8639F2">
              <w:rPr>
                <w:i/>
                <w:sz w:val="22"/>
                <w:szCs w:val="22"/>
              </w:rPr>
              <w:t>14 сентября 2016 года</w:t>
            </w:r>
            <w:r w:rsidR="008639F2" w:rsidRPr="008639F2">
              <w:rPr>
                <w:i/>
                <w:sz w:val="22"/>
                <w:szCs w:val="22"/>
              </w:rPr>
              <w:t>.</w:t>
            </w:r>
          </w:p>
        </w:tc>
      </w:tr>
    </w:tbl>
    <w:p w:rsidR="00D05981" w:rsidRPr="008639F2" w:rsidRDefault="00D05981" w:rsidP="00847A23">
      <w:pPr>
        <w:jc w:val="both"/>
        <w:rPr>
          <w:sz w:val="22"/>
          <w:szCs w:val="22"/>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rsidRPr="008639F2">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8639F2" w:rsidRDefault="00D05981" w:rsidP="00847A23">
            <w:pPr>
              <w:jc w:val="both"/>
              <w:rPr>
                <w:sz w:val="22"/>
                <w:szCs w:val="22"/>
              </w:rPr>
            </w:pPr>
            <w:r w:rsidRPr="008639F2">
              <w:rPr>
                <w:sz w:val="22"/>
                <w:szCs w:val="22"/>
              </w:rPr>
              <w:t>3. Подпись</w:t>
            </w:r>
          </w:p>
        </w:tc>
      </w:tr>
      <w:tr w:rsidR="00D05981" w:rsidRPr="008639F2">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Pr="008639F2" w:rsidRDefault="00D05981" w:rsidP="00847A23">
            <w:pPr>
              <w:ind w:left="57"/>
              <w:jc w:val="both"/>
              <w:rPr>
                <w:sz w:val="22"/>
                <w:szCs w:val="22"/>
              </w:rPr>
            </w:pPr>
            <w:r w:rsidRPr="008639F2">
              <w:rPr>
                <w:sz w:val="22"/>
                <w:szCs w:val="22"/>
              </w:rPr>
              <w:t>3.1</w:t>
            </w:r>
            <w:r w:rsidR="0020695B" w:rsidRPr="008639F2">
              <w:rPr>
                <w:sz w:val="22"/>
                <w:szCs w:val="22"/>
              </w:rPr>
              <w:t xml:space="preserve">. </w:t>
            </w:r>
            <w:r w:rsidR="00DE7077" w:rsidRPr="008639F2">
              <w:rPr>
                <w:sz w:val="22"/>
                <w:szCs w:val="22"/>
              </w:rPr>
              <w:t>Генеральный директор</w:t>
            </w:r>
          </w:p>
        </w:tc>
        <w:tc>
          <w:tcPr>
            <w:tcW w:w="1701" w:type="dxa"/>
            <w:tcBorders>
              <w:top w:val="nil"/>
              <w:left w:val="nil"/>
              <w:bottom w:val="single" w:sz="4" w:space="0" w:color="auto"/>
              <w:right w:val="nil"/>
            </w:tcBorders>
            <w:vAlign w:val="bottom"/>
          </w:tcPr>
          <w:p w:rsidR="00D05981" w:rsidRPr="008639F2" w:rsidRDefault="00D05981" w:rsidP="00847A23">
            <w:pPr>
              <w:jc w:val="both"/>
              <w:rPr>
                <w:sz w:val="22"/>
                <w:szCs w:val="22"/>
              </w:rPr>
            </w:pPr>
          </w:p>
        </w:tc>
        <w:tc>
          <w:tcPr>
            <w:tcW w:w="907" w:type="dxa"/>
            <w:tcBorders>
              <w:top w:val="nil"/>
              <w:left w:val="nil"/>
              <w:bottom w:val="nil"/>
              <w:right w:val="nil"/>
            </w:tcBorders>
            <w:vAlign w:val="bottom"/>
          </w:tcPr>
          <w:p w:rsidR="00D05981" w:rsidRPr="008639F2" w:rsidRDefault="00D05981" w:rsidP="00847A23">
            <w:pPr>
              <w:jc w:val="both"/>
              <w:rPr>
                <w:sz w:val="22"/>
                <w:szCs w:val="22"/>
              </w:rPr>
            </w:pPr>
          </w:p>
        </w:tc>
        <w:tc>
          <w:tcPr>
            <w:tcW w:w="2552" w:type="dxa"/>
            <w:tcBorders>
              <w:top w:val="nil"/>
              <w:left w:val="nil"/>
              <w:bottom w:val="nil"/>
              <w:right w:val="nil"/>
            </w:tcBorders>
            <w:vAlign w:val="bottom"/>
          </w:tcPr>
          <w:p w:rsidR="00D05981" w:rsidRPr="008639F2" w:rsidRDefault="00DE7077" w:rsidP="00847A23">
            <w:pPr>
              <w:jc w:val="both"/>
              <w:rPr>
                <w:sz w:val="22"/>
                <w:szCs w:val="22"/>
              </w:rPr>
            </w:pPr>
            <w:r w:rsidRPr="008639F2">
              <w:rPr>
                <w:sz w:val="22"/>
                <w:szCs w:val="22"/>
              </w:rPr>
              <w:t>Травников Е.П</w:t>
            </w:r>
            <w:r w:rsidR="001628D5" w:rsidRPr="008639F2">
              <w:rPr>
                <w:sz w:val="22"/>
                <w:szCs w:val="22"/>
              </w:rPr>
              <w:t>.</w:t>
            </w:r>
            <w:r w:rsidRPr="008639F2">
              <w:rPr>
                <w:sz w:val="22"/>
                <w:szCs w:val="22"/>
              </w:rPr>
              <w:t xml:space="preserve"> </w:t>
            </w:r>
          </w:p>
        </w:tc>
        <w:tc>
          <w:tcPr>
            <w:tcW w:w="113" w:type="dxa"/>
            <w:tcBorders>
              <w:top w:val="single" w:sz="4" w:space="0" w:color="auto"/>
              <w:left w:val="nil"/>
              <w:bottom w:val="nil"/>
              <w:right w:val="single" w:sz="4" w:space="0" w:color="auto"/>
            </w:tcBorders>
            <w:vAlign w:val="bottom"/>
          </w:tcPr>
          <w:p w:rsidR="00D05981" w:rsidRPr="008639F2" w:rsidRDefault="00D05981" w:rsidP="00847A23">
            <w:pPr>
              <w:jc w:val="both"/>
              <w:rPr>
                <w:sz w:val="22"/>
                <w:szCs w:val="22"/>
              </w:rPr>
            </w:pPr>
          </w:p>
        </w:tc>
      </w:tr>
      <w:tr w:rsidR="00D05981" w:rsidRPr="008639F2">
        <w:tblPrEx>
          <w:tblCellMar>
            <w:top w:w="0" w:type="dxa"/>
            <w:bottom w:w="0" w:type="dxa"/>
          </w:tblCellMar>
        </w:tblPrEx>
        <w:tc>
          <w:tcPr>
            <w:tcW w:w="4706" w:type="dxa"/>
            <w:gridSpan w:val="8"/>
            <w:tcBorders>
              <w:top w:val="nil"/>
              <w:left w:val="single" w:sz="4" w:space="0" w:color="auto"/>
              <w:bottom w:val="nil"/>
              <w:right w:val="nil"/>
            </w:tcBorders>
          </w:tcPr>
          <w:p w:rsidR="00D05981" w:rsidRPr="008639F2" w:rsidRDefault="00DE7077" w:rsidP="00847A23">
            <w:pPr>
              <w:ind w:left="57"/>
              <w:jc w:val="both"/>
              <w:rPr>
                <w:sz w:val="22"/>
                <w:szCs w:val="22"/>
              </w:rPr>
            </w:pPr>
            <w:r w:rsidRPr="008639F2">
              <w:rPr>
                <w:sz w:val="22"/>
                <w:szCs w:val="22"/>
              </w:rPr>
              <w:t>ОАО «СиМ СТ»</w:t>
            </w:r>
          </w:p>
        </w:tc>
        <w:tc>
          <w:tcPr>
            <w:tcW w:w="1701" w:type="dxa"/>
            <w:tcBorders>
              <w:top w:val="nil"/>
              <w:left w:val="nil"/>
              <w:bottom w:val="nil"/>
              <w:right w:val="nil"/>
            </w:tcBorders>
          </w:tcPr>
          <w:p w:rsidR="00D05981" w:rsidRPr="008639F2" w:rsidRDefault="00D05981" w:rsidP="00847A23">
            <w:pPr>
              <w:jc w:val="both"/>
              <w:rPr>
                <w:sz w:val="22"/>
                <w:szCs w:val="22"/>
              </w:rPr>
            </w:pPr>
            <w:r w:rsidRPr="008639F2">
              <w:rPr>
                <w:sz w:val="22"/>
                <w:szCs w:val="22"/>
              </w:rPr>
              <w:t>(подпись)</w:t>
            </w:r>
          </w:p>
        </w:tc>
        <w:tc>
          <w:tcPr>
            <w:tcW w:w="907" w:type="dxa"/>
            <w:tcBorders>
              <w:top w:val="nil"/>
              <w:left w:val="nil"/>
              <w:bottom w:val="nil"/>
              <w:right w:val="nil"/>
            </w:tcBorders>
          </w:tcPr>
          <w:p w:rsidR="00D05981" w:rsidRPr="008639F2" w:rsidRDefault="00D05981" w:rsidP="00847A23">
            <w:pPr>
              <w:jc w:val="both"/>
              <w:rPr>
                <w:sz w:val="22"/>
                <w:szCs w:val="22"/>
              </w:rPr>
            </w:pPr>
          </w:p>
        </w:tc>
        <w:tc>
          <w:tcPr>
            <w:tcW w:w="2552" w:type="dxa"/>
            <w:tcBorders>
              <w:top w:val="nil"/>
              <w:left w:val="nil"/>
              <w:bottom w:val="nil"/>
              <w:right w:val="nil"/>
            </w:tcBorders>
          </w:tcPr>
          <w:p w:rsidR="00D05981" w:rsidRPr="008639F2" w:rsidRDefault="00D05981" w:rsidP="00847A23">
            <w:pPr>
              <w:jc w:val="both"/>
              <w:rPr>
                <w:sz w:val="22"/>
                <w:szCs w:val="22"/>
              </w:rPr>
            </w:pPr>
          </w:p>
        </w:tc>
        <w:tc>
          <w:tcPr>
            <w:tcW w:w="113" w:type="dxa"/>
            <w:tcBorders>
              <w:top w:val="nil"/>
              <w:left w:val="nil"/>
              <w:bottom w:val="nil"/>
              <w:right w:val="single" w:sz="4" w:space="0" w:color="auto"/>
            </w:tcBorders>
          </w:tcPr>
          <w:p w:rsidR="00D05981" w:rsidRPr="008639F2" w:rsidRDefault="00D05981" w:rsidP="00847A23">
            <w:pPr>
              <w:jc w:val="both"/>
              <w:rPr>
                <w:sz w:val="22"/>
                <w:szCs w:val="22"/>
              </w:rPr>
            </w:pPr>
          </w:p>
        </w:tc>
      </w:tr>
      <w:tr w:rsidR="00D05981" w:rsidRPr="008639F2">
        <w:tblPrEx>
          <w:tblCellMar>
            <w:top w:w="0" w:type="dxa"/>
            <w:bottom w:w="0" w:type="dxa"/>
          </w:tblCellMar>
        </w:tblPrEx>
        <w:tc>
          <w:tcPr>
            <w:tcW w:w="1077" w:type="dxa"/>
            <w:tcBorders>
              <w:top w:val="nil"/>
              <w:left w:val="single" w:sz="4" w:space="0" w:color="auto"/>
              <w:bottom w:val="nil"/>
              <w:right w:val="nil"/>
            </w:tcBorders>
            <w:vAlign w:val="bottom"/>
          </w:tcPr>
          <w:p w:rsidR="00D05981" w:rsidRPr="008639F2" w:rsidRDefault="00D05981" w:rsidP="00847A23">
            <w:pPr>
              <w:spacing w:before="240"/>
              <w:ind w:left="57"/>
              <w:jc w:val="both"/>
              <w:rPr>
                <w:sz w:val="22"/>
                <w:szCs w:val="22"/>
              </w:rPr>
            </w:pPr>
            <w:r w:rsidRPr="008639F2">
              <w:rPr>
                <w:sz w:val="22"/>
                <w:szCs w:val="22"/>
              </w:rPr>
              <w:t>3.2. Дата</w:t>
            </w:r>
          </w:p>
        </w:tc>
        <w:tc>
          <w:tcPr>
            <w:tcW w:w="198" w:type="dxa"/>
            <w:tcBorders>
              <w:top w:val="nil"/>
              <w:left w:val="nil"/>
              <w:bottom w:val="nil"/>
              <w:right w:val="nil"/>
            </w:tcBorders>
            <w:vAlign w:val="bottom"/>
          </w:tcPr>
          <w:p w:rsidR="00D05981" w:rsidRPr="008639F2" w:rsidRDefault="00D05981" w:rsidP="00847A23">
            <w:pPr>
              <w:jc w:val="both"/>
              <w:rPr>
                <w:sz w:val="22"/>
                <w:szCs w:val="22"/>
              </w:rPr>
            </w:pPr>
            <w:r w:rsidRPr="008639F2">
              <w:rPr>
                <w:sz w:val="22"/>
                <w:szCs w:val="22"/>
              </w:rPr>
              <w:t>“</w:t>
            </w:r>
          </w:p>
        </w:tc>
        <w:tc>
          <w:tcPr>
            <w:tcW w:w="397" w:type="dxa"/>
            <w:tcBorders>
              <w:top w:val="nil"/>
              <w:left w:val="nil"/>
              <w:bottom w:val="single" w:sz="4" w:space="0" w:color="auto"/>
              <w:right w:val="nil"/>
            </w:tcBorders>
            <w:vAlign w:val="bottom"/>
          </w:tcPr>
          <w:p w:rsidR="00D05981" w:rsidRPr="008639F2" w:rsidRDefault="008639F2" w:rsidP="005F4D0E">
            <w:pPr>
              <w:jc w:val="both"/>
              <w:rPr>
                <w:sz w:val="22"/>
                <w:szCs w:val="22"/>
              </w:rPr>
            </w:pPr>
            <w:r w:rsidRPr="008639F2">
              <w:rPr>
                <w:sz w:val="22"/>
                <w:szCs w:val="22"/>
              </w:rPr>
              <w:t>27</w:t>
            </w:r>
          </w:p>
        </w:tc>
        <w:tc>
          <w:tcPr>
            <w:tcW w:w="255" w:type="dxa"/>
            <w:tcBorders>
              <w:top w:val="nil"/>
              <w:left w:val="nil"/>
              <w:bottom w:val="nil"/>
              <w:right w:val="nil"/>
            </w:tcBorders>
            <w:vAlign w:val="bottom"/>
          </w:tcPr>
          <w:p w:rsidR="00D05981" w:rsidRPr="008639F2" w:rsidRDefault="00D05981" w:rsidP="00847A23">
            <w:pPr>
              <w:jc w:val="both"/>
              <w:rPr>
                <w:sz w:val="22"/>
                <w:szCs w:val="22"/>
              </w:rPr>
            </w:pPr>
            <w:r w:rsidRPr="008639F2">
              <w:rPr>
                <w:sz w:val="22"/>
                <w:szCs w:val="22"/>
              </w:rPr>
              <w:t>”</w:t>
            </w:r>
          </w:p>
        </w:tc>
        <w:tc>
          <w:tcPr>
            <w:tcW w:w="1474" w:type="dxa"/>
            <w:tcBorders>
              <w:top w:val="nil"/>
              <w:left w:val="nil"/>
              <w:bottom w:val="single" w:sz="4" w:space="0" w:color="auto"/>
              <w:right w:val="nil"/>
            </w:tcBorders>
            <w:vAlign w:val="bottom"/>
          </w:tcPr>
          <w:p w:rsidR="00D05981" w:rsidRPr="008639F2" w:rsidRDefault="008639F2" w:rsidP="00847A23">
            <w:pPr>
              <w:jc w:val="both"/>
              <w:rPr>
                <w:sz w:val="22"/>
                <w:szCs w:val="22"/>
              </w:rPr>
            </w:pPr>
            <w:r w:rsidRPr="008639F2">
              <w:rPr>
                <w:sz w:val="22"/>
                <w:szCs w:val="22"/>
              </w:rPr>
              <w:t>сентября</w:t>
            </w:r>
          </w:p>
        </w:tc>
        <w:tc>
          <w:tcPr>
            <w:tcW w:w="397" w:type="dxa"/>
            <w:tcBorders>
              <w:top w:val="nil"/>
              <w:left w:val="nil"/>
              <w:bottom w:val="nil"/>
              <w:right w:val="nil"/>
            </w:tcBorders>
            <w:vAlign w:val="bottom"/>
          </w:tcPr>
          <w:p w:rsidR="00D05981" w:rsidRPr="008639F2" w:rsidRDefault="00D05981" w:rsidP="00847A23">
            <w:pPr>
              <w:jc w:val="both"/>
              <w:rPr>
                <w:sz w:val="22"/>
                <w:szCs w:val="22"/>
              </w:rPr>
            </w:pPr>
            <w:r w:rsidRPr="008639F2">
              <w:rPr>
                <w:sz w:val="22"/>
                <w:szCs w:val="22"/>
              </w:rPr>
              <w:t>20</w:t>
            </w:r>
          </w:p>
        </w:tc>
        <w:tc>
          <w:tcPr>
            <w:tcW w:w="369" w:type="dxa"/>
            <w:tcBorders>
              <w:top w:val="nil"/>
              <w:left w:val="nil"/>
              <w:bottom w:val="single" w:sz="4" w:space="0" w:color="auto"/>
              <w:right w:val="nil"/>
            </w:tcBorders>
            <w:vAlign w:val="bottom"/>
          </w:tcPr>
          <w:p w:rsidR="00D05981" w:rsidRPr="008639F2" w:rsidRDefault="00DE7077" w:rsidP="008639F2">
            <w:pPr>
              <w:jc w:val="both"/>
              <w:rPr>
                <w:sz w:val="22"/>
                <w:szCs w:val="22"/>
              </w:rPr>
            </w:pPr>
            <w:r w:rsidRPr="008639F2">
              <w:rPr>
                <w:sz w:val="22"/>
                <w:szCs w:val="22"/>
              </w:rPr>
              <w:t>1</w:t>
            </w:r>
            <w:r w:rsidR="008639F2" w:rsidRPr="008639F2">
              <w:rPr>
                <w:sz w:val="22"/>
                <w:szCs w:val="22"/>
              </w:rPr>
              <w:t>6</w:t>
            </w:r>
          </w:p>
        </w:tc>
        <w:tc>
          <w:tcPr>
            <w:tcW w:w="539" w:type="dxa"/>
            <w:tcBorders>
              <w:top w:val="nil"/>
              <w:left w:val="nil"/>
              <w:bottom w:val="nil"/>
              <w:right w:val="nil"/>
            </w:tcBorders>
            <w:vAlign w:val="bottom"/>
          </w:tcPr>
          <w:p w:rsidR="00D05981" w:rsidRPr="008639F2" w:rsidRDefault="00D05981" w:rsidP="00847A23">
            <w:pPr>
              <w:ind w:left="57"/>
              <w:jc w:val="both"/>
              <w:rPr>
                <w:sz w:val="22"/>
                <w:szCs w:val="22"/>
              </w:rPr>
            </w:pPr>
            <w:r w:rsidRPr="008639F2">
              <w:rPr>
                <w:sz w:val="22"/>
                <w:szCs w:val="22"/>
              </w:rPr>
              <w:t>г.</w:t>
            </w:r>
          </w:p>
        </w:tc>
        <w:tc>
          <w:tcPr>
            <w:tcW w:w="1701" w:type="dxa"/>
            <w:tcBorders>
              <w:top w:val="nil"/>
              <w:left w:val="nil"/>
              <w:bottom w:val="nil"/>
              <w:right w:val="nil"/>
            </w:tcBorders>
            <w:vAlign w:val="bottom"/>
          </w:tcPr>
          <w:p w:rsidR="00D05981" w:rsidRPr="008639F2" w:rsidRDefault="00D05981" w:rsidP="00847A23">
            <w:pPr>
              <w:jc w:val="both"/>
              <w:rPr>
                <w:sz w:val="22"/>
                <w:szCs w:val="22"/>
              </w:rPr>
            </w:pPr>
            <w:r w:rsidRPr="008639F2">
              <w:rPr>
                <w:sz w:val="22"/>
                <w:szCs w:val="22"/>
              </w:rPr>
              <w:t>М.П.</w:t>
            </w:r>
          </w:p>
        </w:tc>
        <w:tc>
          <w:tcPr>
            <w:tcW w:w="3572" w:type="dxa"/>
            <w:gridSpan w:val="3"/>
            <w:tcBorders>
              <w:top w:val="nil"/>
              <w:left w:val="nil"/>
              <w:bottom w:val="nil"/>
              <w:right w:val="single" w:sz="4" w:space="0" w:color="auto"/>
            </w:tcBorders>
            <w:vAlign w:val="bottom"/>
          </w:tcPr>
          <w:p w:rsidR="00D05981" w:rsidRPr="008639F2" w:rsidRDefault="00D05981" w:rsidP="00847A23">
            <w:pPr>
              <w:jc w:val="both"/>
              <w:rPr>
                <w:sz w:val="22"/>
                <w:szCs w:val="22"/>
              </w:rPr>
            </w:pPr>
          </w:p>
        </w:tc>
      </w:tr>
      <w:tr w:rsidR="00D05981" w:rsidRPr="008639F2">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Pr="008639F2" w:rsidRDefault="00D05981" w:rsidP="00847A23">
            <w:pPr>
              <w:jc w:val="both"/>
              <w:rPr>
                <w:sz w:val="22"/>
                <w:szCs w:val="22"/>
              </w:rPr>
            </w:pPr>
          </w:p>
        </w:tc>
      </w:tr>
    </w:tbl>
    <w:p w:rsidR="00D05981" w:rsidRPr="008639F2" w:rsidRDefault="00D05981" w:rsidP="00847A23">
      <w:pPr>
        <w:jc w:val="both"/>
        <w:rPr>
          <w:sz w:val="22"/>
          <w:szCs w:val="22"/>
        </w:rPr>
      </w:pPr>
    </w:p>
    <w:sectPr w:rsidR="00D05981" w:rsidRPr="008639F2">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21E" w:rsidRDefault="0082421E">
      <w:r>
        <w:separator/>
      </w:r>
    </w:p>
  </w:endnote>
  <w:endnote w:type="continuationSeparator" w:id="0">
    <w:p w:rsidR="0082421E" w:rsidRDefault="0082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21E" w:rsidRDefault="0082421E">
      <w:r>
        <w:separator/>
      </w:r>
    </w:p>
  </w:footnote>
  <w:footnote w:type="continuationSeparator" w:id="0">
    <w:p w:rsidR="0082421E" w:rsidRDefault="00824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60B6C"/>
    <w:rsid w:val="000B40FB"/>
    <w:rsid w:val="001628D5"/>
    <w:rsid w:val="001E2925"/>
    <w:rsid w:val="0020695B"/>
    <w:rsid w:val="00242F28"/>
    <w:rsid w:val="002546B0"/>
    <w:rsid w:val="002B2F2D"/>
    <w:rsid w:val="002B6AA1"/>
    <w:rsid w:val="00305206"/>
    <w:rsid w:val="003333AA"/>
    <w:rsid w:val="00342FE3"/>
    <w:rsid w:val="00372C02"/>
    <w:rsid w:val="003972B5"/>
    <w:rsid w:val="003A3875"/>
    <w:rsid w:val="00403A25"/>
    <w:rsid w:val="004057A8"/>
    <w:rsid w:val="00416BB9"/>
    <w:rsid w:val="004A372C"/>
    <w:rsid w:val="00540805"/>
    <w:rsid w:val="00555D43"/>
    <w:rsid w:val="0058067A"/>
    <w:rsid w:val="00597D10"/>
    <w:rsid w:val="005C6D07"/>
    <w:rsid w:val="005F4D0E"/>
    <w:rsid w:val="00617A06"/>
    <w:rsid w:val="006944E8"/>
    <w:rsid w:val="006B2760"/>
    <w:rsid w:val="006B6008"/>
    <w:rsid w:val="0073234B"/>
    <w:rsid w:val="00762F4F"/>
    <w:rsid w:val="007719C5"/>
    <w:rsid w:val="007B5522"/>
    <w:rsid w:val="0082421E"/>
    <w:rsid w:val="00847A23"/>
    <w:rsid w:val="008639F2"/>
    <w:rsid w:val="0086420C"/>
    <w:rsid w:val="008913D4"/>
    <w:rsid w:val="008B2ABE"/>
    <w:rsid w:val="008D7F5F"/>
    <w:rsid w:val="008E41F1"/>
    <w:rsid w:val="0090569C"/>
    <w:rsid w:val="009429E6"/>
    <w:rsid w:val="009C0742"/>
    <w:rsid w:val="00A1175B"/>
    <w:rsid w:val="00AB3E61"/>
    <w:rsid w:val="00B60483"/>
    <w:rsid w:val="00B756BD"/>
    <w:rsid w:val="00B94661"/>
    <w:rsid w:val="00BE6544"/>
    <w:rsid w:val="00C1092C"/>
    <w:rsid w:val="00C2282A"/>
    <w:rsid w:val="00C86476"/>
    <w:rsid w:val="00CB3AD3"/>
    <w:rsid w:val="00CC294F"/>
    <w:rsid w:val="00CE443E"/>
    <w:rsid w:val="00D05981"/>
    <w:rsid w:val="00D14C69"/>
    <w:rsid w:val="00D3360C"/>
    <w:rsid w:val="00D417CE"/>
    <w:rsid w:val="00D57A90"/>
    <w:rsid w:val="00D60EF8"/>
    <w:rsid w:val="00D61BD9"/>
    <w:rsid w:val="00D75D76"/>
    <w:rsid w:val="00DA5952"/>
    <w:rsid w:val="00DB412D"/>
    <w:rsid w:val="00DB63F2"/>
    <w:rsid w:val="00DE7077"/>
    <w:rsid w:val="00E46935"/>
    <w:rsid w:val="00E6013E"/>
    <w:rsid w:val="00E72B23"/>
    <w:rsid w:val="00ED1644"/>
    <w:rsid w:val="00F35257"/>
    <w:rsid w:val="00F8220E"/>
    <w:rsid w:val="00FC75CB"/>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CE443E"/>
    <w:pPr>
      <w:autoSpaceDE w:val="0"/>
      <w:autoSpaceDN w:val="0"/>
      <w:adjustRightInd w:val="0"/>
      <w:spacing w:after="0" w:line="240" w:lineRule="auto"/>
    </w:pPr>
    <w:rPr>
      <w:rFonts w:ascii="Times New Roman" w:hAnsi="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CE443E"/>
    <w:pPr>
      <w:autoSpaceDE w:val="0"/>
      <w:autoSpaceDN w:val="0"/>
      <w:adjustRightInd w:val="0"/>
      <w:spacing w:after="0" w:line="240" w:lineRule="auto"/>
    </w:pPr>
    <w:rPr>
      <w:rFonts w:ascii="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2016-09-30T10:55:00Z</dcterms:created>
  <dcterms:modified xsi:type="dcterms:W3CDTF">2016-09-30T10:55:00Z</dcterms:modified>
</cp:coreProperties>
</file>