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E14752" w:rsidRPr="00E14752" w:rsidRDefault="00ED1644" w:rsidP="00E14752">
      <w:pPr>
        <w:adjustRightInd w:val="0"/>
        <w:ind w:firstLine="540"/>
        <w:jc w:val="center"/>
        <w:outlineLvl w:val="0"/>
        <w:rPr>
          <w:b/>
          <w:bCs/>
          <w:sz w:val="22"/>
          <w:szCs w:val="22"/>
        </w:rPr>
      </w:pPr>
      <w:r w:rsidRPr="00E14752">
        <w:rPr>
          <w:b/>
          <w:bCs/>
          <w:sz w:val="22"/>
          <w:szCs w:val="22"/>
        </w:rPr>
        <w:t>о существенном факте</w:t>
      </w:r>
      <w:r w:rsidR="008D7F5F" w:rsidRPr="00E14752">
        <w:rPr>
          <w:b/>
          <w:bCs/>
          <w:sz w:val="22"/>
          <w:szCs w:val="22"/>
        </w:rPr>
        <w:t xml:space="preserve"> </w:t>
      </w:r>
      <w:r w:rsidR="00922ACA" w:rsidRPr="00E14752">
        <w:rPr>
          <w:b/>
          <w:bCs/>
          <w:sz w:val="22"/>
          <w:szCs w:val="22"/>
        </w:rPr>
        <w:t>о совершении эмитент</w:t>
      </w:r>
      <w:r w:rsidR="00F4265D" w:rsidRPr="00E14752">
        <w:rPr>
          <w:b/>
          <w:bCs/>
          <w:sz w:val="22"/>
          <w:szCs w:val="22"/>
        </w:rPr>
        <w:t xml:space="preserve">ом </w:t>
      </w:r>
      <w:r w:rsidR="00E14752" w:rsidRPr="00E14752">
        <w:rPr>
          <w:b/>
          <w:bCs/>
          <w:sz w:val="22"/>
          <w:szCs w:val="22"/>
        </w:rPr>
        <w:t>сделки, в совершении которой имеется заинтересованность</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4E1651" w:rsidRDefault="00E71998" w:rsidP="004E1651">
            <w:pPr>
              <w:adjustRightInd w:val="0"/>
              <w:jc w:val="both"/>
              <w:rPr>
                <w:b/>
                <w:bCs/>
                <w:sz w:val="26"/>
                <w:szCs w:val="26"/>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4E1651" w:rsidRPr="004E1651">
              <w:rPr>
                <w:b/>
                <w:bCs/>
                <w:i/>
                <w:sz w:val="24"/>
                <w:szCs w:val="24"/>
              </w:rPr>
              <w:t>крупная сделка, которая одновременно является сделкой, в совершении которой имелась заинтересованность</w:t>
            </w:r>
          </w:p>
          <w:p w:rsidR="00CF024A" w:rsidRPr="00212AF2" w:rsidRDefault="00C87739" w:rsidP="00C87739">
            <w:pPr>
              <w:tabs>
                <w:tab w:val="left" w:pos="284"/>
                <w:tab w:val="left" w:pos="709"/>
              </w:tabs>
              <w:jc w:val="both"/>
              <w:rPr>
                <w:b/>
                <w:i/>
                <w:sz w:val="24"/>
                <w:szCs w:val="24"/>
              </w:rPr>
            </w:pPr>
            <w:r>
              <w:rPr>
                <w:sz w:val="24"/>
                <w:szCs w:val="24"/>
              </w:rPr>
              <w:t>2.</w:t>
            </w:r>
            <w:r w:rsidR="00CF024A">
              <w:rPr>
                <w:sz w:val="24"/>
                <w:szCs w:val="24"/>
              </w:rPr>
              <w:t>3</w:t>
            </w:r>
            <w:r>
              <w:rPr>
                <w:sz w:val="24"/>
                <w:szCs w:val="24"/>
              </w:rPr>
              <w:t>. В</w:t>
            </w:r>
            <w:r w:rsidRPr="00C87739">
              <w:rPr>
                <w:sz w:val="24"/>
                <w:szCs w:val="24"/>
              </w:rPr>
              <w:t>ид и предмет сделки</w:t>
            </w:r>
            <w:r w:rsidR="00E73710">
              <w:rPr>
                <w:sz w:val="24"/>
                <w:szCs w:val="24"/>
              </w:rPr>
              <w:t xml:space="preserve">: </w:t>
            </w:r>
            <w:r w:rsidR="00CF024A">
              <w:rPr>
                <w:b/>
                <w:i/>
                <w:sz w:val="24"/>
                <w:szCs w:val="24"/>
              </w:rPr>
              <w:t xml:space="preserve">Договор </w:t>
            </w:r>
            <w:r w:rsidR="00212AF2">
              <w:rPr>
                <w:b/>
                <w:i/>
                <w:sz w:val="24"/>
                <w:szCs w:val="24"/>
              </w:rPr>
              <w:t>поручительства</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212AF2" w:rsidRPr="00676AF0" w:rsidRDefault="00212AF2" w:rsidP="00212AF2">
            <w:pPr>
              <w:jc w:val="both"/>
              <w:rPr>
                <w:b/>
                <w:bCs/>
                <w:i/>
                <w:iCs/>
                <w:noProof/>
                <w:sz w:val="24"/>
                <w:szCs w:val="24"/>
              </w:rPr>
            </w:pPr>
            <w:r w:rsidRPr="00676AF0">
              <w:rPr>
                <w:b/>
                <w:bCs/>
                <w:i/>
                <w:iCs/>
                <w:noProof/>
                <w:sz w:val="24"/>
                <w:szCs w:val="24"/>
              </w:rPr>
              <w:t>Договор поручительства заключается в обеспечение обязательств Заемщика - Общества с ограниченной ответственностью «Перспектива Инвест Групп» (ОГРН 5147746420399, ИНН 7722865077, место нахождения 111033, г. Москва, ул. Золоторожский вал, д. 11), возникших в рамках Кредитного договора (кредитной линии), заключенного с ОАО «Банк Москвы» (новое наименование кредитора – Банк ВТБ (публичное акционерное общество).</w:t>
            </w:r>
          </w:p>
          <w:p w:rsidR="00D52D09" w:rsidRPr="00676AF0" w:rsidRDefault="00212AF2" w:rsidP="00212AF2">
            <w:pPr>
              <w:tabs>
                <w:tab w:val="left" w:pos="284"/>
                <w:tab w:val="left" w:pos="709"/>
              </w:tabs>
              <w:jc w:val="both"/>
              <w:rPr>
                <w:b/>
                <w:i/>
                <w:sz w:val="24"/>
                <w:szCs w:val="24"/>
              </w:rPr>
            </w:pPr>
            <w:r w:rsidRPr="00676AF0">
              <w:rPr>
                <w:b/>
                <w:bCs/>
                <w:i/>
                <w:iCs/>
                <w:noProof/>
                <w:sz w:val="24"/>
                <w:szCs w:val="24"/>
              </w:rPr>
              <w:t>Поручитель обязывается перед Кредитором отвечать за исполнение Заемщиком обязательств по Кредитному договору в полном объеме.</w:t>
            </w:r>
          </w:p>
          <w:p w:rsidR="00676AF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рок исполнения обязательств по сделке</w:t>
            </w:r>
            <w:r w:rsidR="00676AF0">
              <w:rPr>
                <w:sz w:val="24"/>
                <w:szCs w:val="24"/>
              </w:rPr>
              <w:t xml:space="preserve">: </w:t>
            </w:r>
            <w:r w:rsidR="00676AF0" w:rsidRPr="00CF514E">
              <w:rPr>
                <w:b/>
                <w:bCs/>
                <w:i/>
                <w:iCs/>
                <w:noProof/>
                <w:sz w:val="24"/>
                <w:szCs w:val="24"/>
              </w:rPr>
              <w:t>Поручительство предоставляется на срок, не превышающий трех лет с даты окончательного срока возврата кредита, установленного Кредитным договором (30.06.2025);</w:t>
            </w:r>
          </w:p>
          <w:p w:rsidR="00676AF0" w:rsidRDefault="00676AF0" w:rsidP="00E73710">
            <w:pPr>
              <w:tabs>
                <w:tab w:val="left" w:pos="284"/>
                <w:tab w:val="left" w:pos="709"/>
              </w:tabs>
              <w:jc w:val="both"/>
              <w:rPr>
                <w:b/>
                <w:bCs/>
                <w:i/>
                <w:iCs/>
                <w:noProof/>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Pr="00CF514E">
              <w:rPr>
                <w:b/>
                <w:i/>
                <w:sz w:val="24"/>
                <w:szCs w:val="24"/>
              </w:rPr>
              <w:t xml:space="preserve">Поручитель - Открытое акционерное общество Московский металлургический завод «Серп и Молот»; Кредитор - </w:t>
            </w:r>
            <w:r w:rsidRPr="00CF514E">
              <w:rPr>
                <w:b/>
                <w:bCs/>
                <w:i/>
                <w:iCs/>
                <w:noProof/>
                <w:sz w:val="24"/>
                <w:szCs w:val="24"/>
              </w:rPr>
              <w:t>Банк ВТБ (публичное акционерное общество); Выгодоприобреталель (заемщик) - Общества с ограниченной ответственностью «Перспектива Инвест Групп»</w:t>
            </w:r>
            <w:r w:rsidR="00CF514E">
              <w:rPr>
                <w:b/>
                <w:bCs/>
                <w:i/>
                <w:iCs/>
                <w:noProof/>
                <w:sz w:val="24"/>
                <w:szCs w:val="24"/>
              </w:rPr>
              <w:t>;</w:t>
            </w:r>
          </w:p>
          <w:p w:rsidR="00E73710" w:rsidRPr="00676AF0" w:rsidRDefault="00E73710" w:rsidP="00E73710">
            <w:pPr>
              <w:tabs>
                <w:tab w:val="left" w:pos="284"/>
                <w:tab w:val="left" w:pos="709"/>
              </w:tabs>
              <w:jc w:val="both"/>
              <w:rPr>
                <w:b/>
                <w:i/>
                <w:sz w:val="22"/>
                <w:szCs w:val="22"/>
              </w:rPr>
            </w:pPr>
            <w:r w:rsidRPr="00E73710">
              <w:rPr>
                <w:sz w:val="24"/>
                <w:szCs w:val="24"/>
              </w:rPr>
              <w:t xml:space="preserve">размер сделки в денежном выражении и в процентах от стоимости активов </w:t>
            </w:r>
            <w:r w:rsidR="00CF024A">
              <w:rPr>
                <w:sz w:val="24"/>
                <w:szCs w:val="24"/>
              </w:rPr>
              <w:t>эмитента</w:t>
            </w:r>
            <w:r w:rsidR="009778D6">
              <w:rPr>
                <w:sz w:val="24"/>
                <w:szCs w:val="24"/>
              </w:rPr>
              <w:t>:</w:t>
            </w:r>
            <w:r w:rsidR="00676AF0">
              <w:rPr>
                <w:sz w:val="24"/>
                <w:szCs w:val="24"/>
              </w:rPr>
              <w:t xml:space="preserve"> </w:t>
            </w:r>
            <w:r w:rsidR="00676AF0" w:rsidRPr="00CF514E">
              <w:rPr>
                <w:b/>
                <w:bCs/>
                <w:i/>
                <w:iCs/>
                <w:noProof/>
                <w:sz w:val="24"/>
                <w:szCs w:val="24"/>
              </w:rPr>
              <w:t>9 929 798 416,00 (Девять миллиардов девятьсот двадцать девять миллионов семьсот девяносто восемь тысяч четыреста шестнадцать 00/100) рублей;</w:t>
            </w:r>
          </w:p>
          <w:p w:rsidR="000C112B" w:rsidRDefault="000C112B" w:rsidP="00E73710">
            <w:pPr>
              <w:tabs>
                <w:tab w:val="left" w:pos="284"/>
                <w:tab w:val="left" w:pos="709"/>
              </w:tabs>
              <w:jc w:val="both"/>
              <w:rPr>
                <w:b/>
                <w:i/>
                <w:sz w:val="24"/>
                <w:szCs w:val="24"/>
              </w:rPr>
            </w:pPr>
            <w:r>
              <w:rPr>
                <w:b/>
                <w:i/>
                <w:sz w:val="24"/>
                <w:szCs w:val="24"/>
              </w:rPr>
              <w:t xml:space="preserve">- </w:t>
            </w:r>
            <w:r w:rsidR="00CF514E">
              <w:rPr>
                <w:b/>
                <w:i/>
                <w:sz w:val="24"/>
                <w:szCs w:val="24"/>
              </w:rPr>
              <w:t>205,58</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676AF0" w:rsidP="00E73710">
            <w:pPr>
              <w:tabs>
                <w:tab w:val="left" w:pos="284"/>
                <w:tab w:val="left" w:pos="709"/>
              </w:tabs>
              <w:jc w:val="both"/>
              <w:rPr>
                <w:b/>
                <w:i/>
                <w:sz w:val="24"/>
                <w:szCs w:val="24"/>
              </w:rPr>
            </w:pPr>
            <w:r>
              <w:rPr>
                <w:b/>
                <w:i/>
                <w:sz w:val="24"/>
                <w:szCs w:val="24"/>
              </w:rPr>
              <w:t xml:space="preserve">4 830 138 000 </w:t>
            </w:r>
            <w:r w:rsidR="009778D6">
              <w:rPr>
                <w:b/>
                <w:i/>
                <w:sz w:val="24"/>
                <w:szCs w:val="24"/>
              </w:rPr>
              <w:t>(</w:t>
            </w:r>
            <w:r>
              <w:rPr>
                <w:b/>
                <w:i/>
                <w:sz w:val="24"/>
                <w:szCs w:val="24"/>
              </w:rPr>
              <w:t>Четыре миллиарда восемьсот тридцать миллионов сто тридцать восемь</w:t>
            </w:r>
            <w:r w:rsidR="009778D6">
              <w:rPr>
                <w:b/>
                <w:i/>
                <w:sz w:val="24"/>
                <w:szCs w:val="24"/>
              </w:rPr>
              <w:t xml:space="preserve"> тысяч) </w:t>
            </w:r>
            <w:r w:rsidR="009778D6" w:rsidRPr="009778D6">
              <w:rPr>
                <w:b/>
                <w:i/>
                <w:sz w:val="24"/>
                <w:szCs w:val="24"/>
              </w:rPr>
              <w:t>рублей</w:t>
            </w:r>
            <w:r w:rsidR="009778D6">
              <w:rPr>
                <w:b/>
                <w:i/>
                <w:sz w:val="24"/>
                <w:szCs w:val="24"/>
              </w:rPr>
              <w:t xml:space="preserve"> по состоянию на 3</w:t>
            </w:r>
            <w:r>
              <w:rPr>
                <w:b/>
                <w:i/>
                <w:sz w:val="24"/>
                <w:szCs w:val="24"/>
              </w:rPr>
              <w:t>0</w:t>
            </w:r>
            <w:r w:rsidR="009778D6">
              <w:rPr>
                <w:b/>
                <w:i/>
                <w:sz w:val="24"/>
                <w:szCs w:val="24"/>
              </w:rPr>
              <w:t>.0</w:t>
            </w:r>
            <w:r>
              <w:rPr>
                <w:b/>
                <w:i/>
                <w:sz w:val="24"/>
                <w:szCs w:val="24"/>
              </w:rPr>
              <w:t>9</w:t>
            </w:r>
            <w:r w:rsidR="009778D6">
              <w:rPr>
                <w:b/>
                <w:i/>
                <w:sz w:val="24"/>
                <w:szCs w:val="24"/>
              </w:rPr>
              <w:t>.2016.</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676AF0">
              <w:rPr>
                <w:b/>
                <w:i/>
                <w:sz w:val="24"/>
                <w:szCs w:val="24"/>
              </w:rPr>
              <w:t>07</w:t>
            </w:r>
            <w:r w:rsidR="00577CC7" w:rsidRPr="00577CC7">
              <w:rPr>
                <w:b/>
                <w:i/>
                <w:sz w:val="24"/>
                <w:szCs w:val="24"/>
              </w:rPr>
              <w:t>»</w:t>
            </w:r>
            <w:r w:rsidR="002F187B" w:rsidRPr="002F187B">
              <w:rPr>
                <w:b/>
                <w:i/>
                <w:sz w:val="24"/>
                <w:szCs w:val="24"/>
              </w:rPr>
              <w:t xml:space="preserve"> </w:t>
            </w:r>
            <w:r w:rsidR="00676AF0">
              <w:rPr>
                <w:b/>
                <w:i/>
                <w:sz w:val="24"/>
                <w:szCs w:val="24"/>
              </w:rPr>
              <w:t>ноября</w:t>
            </w:r>
            <w:r w:rsidR="009A41C4">
              <w:rPr>
                <w:b/>
                <w:i/>
                <w:sz w:val="24"/>
                <w:szCs w:val="24"/>
              </w:rPr>
              <w:t xml:space="preserve"> </w:t>
            </w:r>
            <w:r w:rsidR="002F187B" w:rsidRPr="002F187B">
              <w:rPr>
                <w:b/>
                <w:i/>
                <w:sz w:val="24"/>
                <w:szCs w:val="24"/>
              </w:rPr>
              <w:t>201</w:t>
            </w:r>
            <w:r w:rsidR="009B6D32">
              <w:rPr>
                <w:b/>
                <w:i/>
                <w:sz w:val="24"/>
                <w:szCs w:val="24"/>
              </w:rPr>
              <w:t>6</w:t>
            </w:r>
            <w:r w:rsidR="002F187B" w:rsidRPr="002F187B">
              <w:rPr>
                <w:b/>
                <w:i/>
                <w:sz w:val="24"/>
                <w:szCs w:val="24"/>
              </w:rPr>
              <w:t xml:space="preserve"> г.</w:t>
            </w:r>
          </w:p>
          <w:p w:rsidR="003333AA" w:rsidRPr="00CF514E" w:rsidRDefault="00E73710" w:rsidP="00F25E09">
            <w:pPr>
              <w:tabs>
                <w:tab w:val="left" w:pos="284"/>
                <w:tab w:val="left" w:pos="709"/>
              </w:tabs>
              <w:jc w:val="both"/>
              <w:rPr>
                <w:b/>
                <w:i/>
                <w:sz w:val="24"/>
                <w:szCs w:val="24"/>
              </w:rPr>
            </w:pPr>
            <w:r>
              <w:rPr>
                <w:sz w:val="24"/>
                <w:szCs w:val="24"/>
              </w:rPr>
              <w:t>2.8. С</w:t>
            </w:r>
            <w:r w:rsidRPr="00E73710">
              <w:rPr>
                <w:sz w:val="24"/>
                <w:szCs w:val="24"/>
              </w:rPr>
              <w:t xml:space="preserve">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w:t>
            </w:r>
            <w:r w:rsidRPr="00E73710">
              <w:rPr>
                <w:sz w:val="24"/>
                <w:szCs w:val="24"/>
              </w:rPr>
              <w:lastRenderedPageBreak/>
              <w:t>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r w:rsidR="00CF514E">
              <w:rPr>
                <w:b/>
                <w:i/>
                <w:sz w:val="24"/>
                <w:szCs w:val="24"/>
              </w:rPr>
              <w:t>Общее собрание акционеров</w:t>
            </w:r>
            <w:r w:rsidR="00FD40FD">
              <w:rPr>
                <w:b/>
                <w:i/>
                <w:sz w:val="24"/>
                <w:szCs w:val="24"/>
              </w:rPr>
              <w:t xml:space="preserve"> 10 июня 2016 года</w:t>
            </w:r>
            <w:r w:rsidR="00CF514E">
              <w:rPr>
                <w:b/>
                <w:i/>
                <w:sz w:val="24"/>
                <w:szCs w:val="24"/>
              </w:rPr>
              <w:t>, Протокол внеочередного общего собрания акционеров ОАО «СиМ СТ» № б/н от 16.06.2016</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CF514E" w:rsidP="00D512F4">
            <w:pPr>
              <w:jc w:val="both"/>
              <w:rPr>
                <w:sz w:val="24"/>
                <w:szCs w:val="24"/>
              </w:rPr>
            </w:pPr>
            <w:r>
              <w:rPr>
                <w:sz w:val="24"/>
                <w:szCs w:val="24"/>
              </w:rPr>
              <w:t>08</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CF514E" w:rsidP="00000B6F">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AB" w:rsidRDefault="007923AB">
      <w:r>
        <w:separator/>
      </w:r>
    </w:p>
  </w:endnote>
  <w:endnote w:type="continuationSeparator" w:id="0">
    <w:p w:rsidR="007923AB" w:rsidRDefault="0079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AB" w:rsidRDefault="007923AB">
      <w:r>
        <w:separator/>
      </w:r>
    </w:p>
  </w:footnote>
  <w:footnote w:type="continuationSeparator" w:id="0">
    <w:p w:rsidR="007923AB" w:rsidRDefault="00792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5431"/>
    <w:rsid w:val="001C115F"/>
    <w:rsid w:val="001E2925"/>
    <w:rsid w:val="001E2D44"/>
    <w:rsid w:val="0020695B"/>
    <w:rsid w:val="00212AF2"/>
    <w:rsid w:val="0023064B"/>
    <w:rsid w:val="00242F28"/>
    <w:rsid w:val="002546B0"/>
    <w:rsid w:val="00264572"/>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6BB9"/>
    <w:rsid w:val="004254E4"/>
    <w:rsid w:val="00435A2B"/>
    <w:rsid w:val="00460069"/>
    <w:rsid w:val="004A372C"/>
    <w:rsid w:val="004A45DD"/>
    <w:rsid w:val="004D064C"/>
    <w:rsid w:val="004E094F"/>
    <w:rsid w:val="004E1651"/>
    <w:rsid w:val="004F046D"/>
    <w:rsid w:val="00540805"/>
    <w:rsid w:val="00555D43"/>
    <w:rsid w:val="005648C5"/>
    <w:rsid w:val="00577345"/>
    <w:rsid w:val="00577CC7"/>
    <w:rsid w:val="0058067A"/>
    <w:rsid w:val="005923F9"/>
    <w:rsid w:val="00597D10"/>
    <w:rsid w:val="005C6D07"/>
    <w:rsid w:val="005F2C27"/>
    <w:rsid w:val="005F4D0E"/>
    <w:rsid w:val="00617A06"/>
    <w:rsid w:val="00676AF0"/>
    <w:rsid w:val="0069004B"/>
    <w:rsid w:val="006B2760"/>
    <w:rsid w:val="0071737E"/>
    <w:rsid w:val="0073234B"/>
    <w:rsid w:val="00747B9C"/>
    <w:rsid w:val="00762F4F"/>
    <w:rsid w:val="007719C5"/>
    <w:rsid w:val="007923AB"/>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A2375"/>
    <w:rsid w:val="00AB3E61"/>
    <w:rsid w:val="00AE32A2"/>
    <w:rsid w:val="00B75072"/>
    <w:rsid w:val="00B756BD"/>
    <w:rsid w:val="00B80883"/>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B3AD3"/>
    <w:rsid w:val="00CC294F"/>
    <w:rsid w:val="00CC3EE8"/>
    <w:rsid w:val="00CE6ABA"/>
    <w:rsid w:val="00CF024A"/>
    <w:rsid w:val="00CF514E"/>
    <w:rsid w:val="00D05981"/>
    <w:rsid w:val="00D14C69"/>
    <w:rsid w:val="00D17BBD"/>
    <w:rsid w:val="00D21FEE"/>
    <w:rsid w:val="00D3360C"/>
    <w:rsid w:val="00D417CE"/>
    <w:rsid w:val="00D512F4"/>
    <w:rsid w:val="00D52D09"/>
    <w:rsid w:val="00D56660"/>
    <w:rsid w:val="00D57A90"/>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4752"/>
    <w:rsid w:val="00E178DA"/>
    <w:rsid w:val="00E311B9"/>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2016-11-09T08:02:00Z</dcterms:created>
  <dcterms:modified xsi:type="dcterms:W3CDTF">2016-11-09T08:02:00Z</dcterms:modified>
</cp:coreProperties>
</file>