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5981" w:rsidRPr="0040297F" w:rsidRDefault="00D05981">
      <w:pPr>
        <w:spacing w:before="240"/>
        <w:jc w:val="center"/>
        <w:rPr>
          <w:b/>
          <w:bCs/>
          <w:sz w:val="24"/>
          <w:szCs w:val="24"/>
        </w:rPr>
      </w:pPr>
      <w:bookmarkStart w:id="0" w:name="_GoBack"/>
      <w:bookmarkEnd w:id="0"/>
      <w:r w:rsidRPr="0040297F">
        <w:rPr>
          <w:b/>
          <w:bCs/>
          <w:sz w:val="24"/>
          <w:szCs w:val="24"/>
        </w:rPr>
        <w:t>Сообщение</w:t>
      </w:r>
    </w:p>
    <w:p w:rsidR="00D05981" w:rsidRPr="00200211" w:rsidRDefault="00F67169" w:rsidP="00B01DCC">
      <w:pPr>
        <w:ind w:left="1134" w:right="1134"/>
        <w:jc w:val="center"/>
        <w:rPr>
          <w:b/>
          <w:bCs/>
          <w:sz w:val="22"/>
          <w:szCs w:val="22"/>
        </w:rPr>
      </w:pPr>
      <w:r w:rsidRPr="00F67169">
        <w:rPr>
          <w:b/>
          <w:bCs/>
          <w:sz w:val="22"/>
          <w:szCs w:val="22"/>
        </w:rPr>
        <w:t xml:space="preserve">о существенном факте </w:t>
      </w:r>
      <w:r w:rsidR="00101A00" w:rsidRPr="00101A00">
        <w:rPr>
          <w:b/>
          <w:bCs/>
          <w:sz w:val="22"/>
          <w:szCs w:val="22"/>
        </w:rPr>
        <w:t xml:space="preserve">о </w:t>
      </w:r>
      <w:r w:rsidR="0066362C" w:rsidRPr="0066362C">
        <w:rPr>
          <w:b/>
          <w:bCs/>
          <w:sz w:val="22"/>
          <w:szCs w:val="22"/>
        </w:rPr>
        <w:t>прекращении у лица права распоряжаться определенным количеством голосов, приходящихся на голосующие акции (доли), составляющие уставный капитал эмитента</w:t>
      </w:r>
      <w:r w:rsidR="0066362C" w:rsidRPr="00DC5B0D">
        <w:rPr>
          <w:rFonts w:ascii="Arial" w:hAnsi="Arial" w:cs="Arial"/>
          <w:color w:val="000000"/>
          <w:sz w:val="18"/>
          <w:szCs w:val="18"/>
        </w:rPr>
        <w:t> </w:t>
      </w:r>
    </w:p>
    <w:p w:rsidR="00D61BD9" w:rsidRPr="00200211" w:rsidRDefault="00D61BD9" w:rsidP="00D61BD9">
      <w:pPr>
        <w:ind w:left="1134" w:right="1134"/>
        <w:jc w:val="cente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933"/>
        <w:gridCol w:w="5046"/>
      </w:tblGrid>
      <w:tr w:rsidR="00D05981" w:rsidRPr="0040297F">
        <w:tblPrEx>
          <w:tblCellMar>
            <w:top w:w="0" w:type="dxa"/>
            <w:bottom w:w="0" w:type="dxa"/>
          </w:tblCellMar>
        </w:tblPrEx>
        <w:trPr>
          <w:cantSplit/>
        </w:trPr>
        <w:tc>
          <w:tcPr>
            <w:tcW w:w="9979" w:type="dxa"/>
            <w:gridSpan w:val="2"/>
          </w:tcPr>
          <w:p w:rsidR="00D05981" w:rsidRPr="0040297F" w:rsidRDefault="00D05981">
            <w:pPr>
              <w:jc w:val="center"/>
              <w:rPr>
                <w:sz w:val="24"/>
                <w:szCs w:val="24"/>
              </w:rPr>
            </w:pPr>
            <w:r w:rsidRPr="0040297F">
              <w:rPr>
                <w:sz w:val="24"/>
                <w:szCs w:val="24"/>
              </w:rPr>
              <w:t>1. Общие сведения</w:t>
            </w:r>
          </w:p>
        </w:tc>
      </w:tr>
      <w:tr w:rsidR="00D05981" w:rsidRPr="0040297F">
        <w:tblPrEx>
          <w:tblCellMar>
            <w:top w:w="0" w:type="dxa"/>
            <w:bottom w:w="0" w:type="dxa"/>
          </w:tblCellMar>
        </w:tblPrEx>
        <w:tc>
          <w:tcPr>
            <w:tcW w:w="4933" w:type="dxa"/>
          </w:tcPr>
          <w:p w:rsidR="00D05981" w:rsidRPr="00CF32CD" w:rsidRDefault="00D05981">
            <w:pPr>
              <w:ind w:left="57" w:right="57"/>
              <w:jc w:val="both"/>
              <w:rPr>
                <w:sz w:val="18"/>
                <w:szCs w:val="24"/>
              </w:rPr>
            </w:pPr>
            <w:r w:rsidRPr="00CF32CD">
              <w:rPr>
                <w:sz w:val="18"/>
                <w:szCs w:val="24"/>
              </w:rPr>
              <w:t>1.1. Полное фирменное наименование эмитента (для некоммерческой организации – наименование)</w:t>
            </w:r>
          </w:p>
        </w:tc>
        <w:tc>
          <w:tcPr>
            <w:tcW w:w="5046" w:type="dxa"/>
          </w:tcPr>
          <w:p w:rsidR="00D05981" w:rsidRPr="00CF32CD" w:rsidRDefault="00D3360C" w:rsidP="00CB36E6">
            <w:pPr>
              <w:ind w:left="57" w:right="57"/>
              <w:jc w:val="both"/>
              <w:rPr>
                <w:b/>
                <w:i/>
                <w:sz w:val="18"/>
                <w:szCs w:val="24"/>
              </w:rPr>
            </w:pPr>
            <w:r w:rsidRPr="00CF32CD">
              <w:rPr>
                <w:b/>
                <w:i/>
                <w:sz w:val="18"/>
                <w:szCs w:val="24"/>
              </w:rPr>
              <w:t>Открытое акционерное общество Московский металлургический завод «Серп и Молот»</w:t>
            </w:r>
          </w:p>
        </w:tc>
      </w:tr>
      <w:tr w:rsidR="00D05981" w:rsidRPr="0040297F">
        <w:tblPrEx>
          <w:tblCellMar>
            <w:top w:w="0" w:type="dxa"/>
            <w:bottom w:w="0" w:type="dxa"/>
          </w:tblCellMar>
        </w:tblPrEx>
        <w:tc>
          <w:tcPr>
            <w:tcW w:w="4933" w:type="dxa"/>
          </w:tcPr>
          <w:p w:rsidR="00D05981" w:rsidRPr="00CF32CD" w:rsidRDefault="00D05981">
            <w:pPr>
              <w:ind w:left="57" w:right="57"/>
              <w:jc w:val="both"/>
              <w:rPr>
                <w:sz w:val="18"/>
                <w:szCs w:val="24"/>
              </w:rPr>
            </w:pPr>
            <w:r w:rsidRPr="00CF32CD">
              <w:rPr>
                <w:sz w:val="18"/>
                <w:szCs w:val="24"/>
              </w:rPr>
              <w:t>1.2. Сокращенное фирменное наименование эмитента</w:t>
            </w:r>
          </w:p>
        </w:tc>
        <w:tc>
          <w:tcPr>
            <w:tcW w:w="5046" w:type="dxa"/>
          </w:tcPr>
          <w:p w:rsidR="00D05981" w:rsidRPr="00CF32CD" w:rsidRDefault="00D3360C">
            <w:pPr>
              <w:ind w:left="57" w:right="57"/>
              <w:jc w:val="both"/>
              <w:rPr>
                <w:b/>
                <w:i/>
                <w:sz w:val="18"/>
                <w:szCs w:val="24"/>
              </w:rPr>
            </w:pPr>
            <w:r w:rsidRPr="00CF32CD">
              <w:rPr>
                <w:b/>
                <w:i/>
                <w:sz w:val="18"/>
                <w:szCs w:val="24"/>
              </w:rPr>
              <w:t>ОАО «СиМ СТ»</w:t>
            </w:r>
          </w:p>
        </w:tc>
      </w:tr>
      <w:tr w:rsidR="00D05981" w:rsidRPr="0040297F">
        <w:tblPrEx>
          <w:tblCellMar>
            <w:top w:w="0" w:type="dxa"/>
            <w:bottom w:w="0" w:type="dxa"/>
          </w:tblCellMar>
        </w:tblPrEx>
        <w:tc>
          <w:tcPr>
            <w:tcW w:w="4933" w:type="dxa"/>
          </w:tcPr>
          <w:p w:rsidR="00D05981" w:rsidRPr="00CF32CD" w:rsidRDefault="00D05981">
            <w:pPr>
              <w:ind w:left="57" w:right="57"/>
              <w:jc w:val="both"/>
              <w:rPr>
                <w:sz w:val="18"/>
                <w:szCs w:val="24"/>
              </w:rPr>
            </w:pPr>
            <w:r w:rsidRPr="00CF32CD">
              <w:rPr>
                <w:sz w:val="18"/>
                <w:szCs w:val="24"/>
              </w:rPr>
              <w:t>1.3. Место нахождения эмитента</w:t>
            </w:r>
          </w:p>
        </w:tc>
        <w:tc>
          <w:tcPr>
            <w:tcW w:w="5046" w:type="dxa"/>
          </w:tcPr>
          <w:p w:rsidR="00D05981" w:rsidRPr="00CF32CD" w:rsidRDefault="005C6D07">
            <w:pPr>
              <w:ind w:left="57" w:right="57"/>
              <w:jc w:val="both"/>
              <w:rPr>
                <w:b/>
                <w:i/>
                <w:sz w:val="18"/>
                <w:szCs w:val="24"/>
              </w:rPr>
            </w:pPr>
            <w:r w:rsidRPr="00CF32CD">
              <w:rPr>
                <w:b/>
                <w:i/>
                <w:sz w:val="18"/>
                <w:szCs w:val="24"/>
              </w:rPr>
              <w:t>1</w:t>
            </w:r>
            <w:r w:rsidR="00D3360C" w:rsidRPr="00CF32CD">
              <w:rPr>
                <w:b/>
                <w:i/>
                <w:sz w:val="18"/>
                <w:szCs w:val="24"/>
              </w:rPr>
              <w:t xml:space="preserve">11033, г. Москва, </w:t>
            </w:r>
            <w:r w:rsidR="00893C64" w:rsidRPr="00CF32CD">
              <w:rPr>
                <w:b/>
                <w:i/>
                <w:sz w:val="18"/>
                <w:szCs w:val="24"/>
              </w:rPr>
              <w:t xml:space="preserve">ул. </w:t>
            </w:r>
            <w:r w:rsidR="00D3360C" w:rsidRPr="00CF32CD">
              <w:rPr>
                <w:b/>
                <w:i/>
                <w:sz w:val="18"/>
                <w:szCs w:val="24"/>
              </w:rPr>
              <w:t>Золоторожский вал, д. 11</w:t>
            </w:r>
          </w:p>
        </w:tc>
      </w:tr>
      <w:tr w:rsidR="00D05981" w:rsidRPr="0040297F">
        <w:tblPrEx>
          <w:tblCellMar>
            <w:top w:w="0" w:type="dxa"/>
            <w:bottom w:w="0" w:type="dxa"/>
          </w:tblCellMar>
        </w:tblPrEx>
        <w:tc>
          <w:tcPr>
            <w:tcW w:w="4933" w:type="dxa"/>
          </w:tcPr>
          <w:p w:rsidR="00D05981" w:rsidRPr="00CF32CD" w:rsidRDefault="00D05981">
            <w:pPr>
              <w:ind w:left="57" w:right="57"/>
              <w:jc w:val="both"/>
              <w:rPr>
                <w:sz w:val="18"/>
                <w:szCs w:val="24"/>
              </w:rPr>
            </w:pPr>
            <w:r w:rsidRPr="00CF32CD">
              <w:rPr>
                <w:sz w:val="18"/>
                <w:szCs w:val="24"/>
              </w:rPr>
              <w:t>1.4. ОГРН эмитента</w:t>
            </w:r>
          </w:p>
        </w:tc>
        <w:tc>
          <w:tcPr>
            <w:tcW w:w="5046" w:type="dxa"/>
          </w:tcPr>
          <w:p w:rsidR="00D05981" w:rsidRPr="00CF32CD" w:rsidRDefault="00D3360C">
            <w:pPr>
              <w:ind w:left="57" w:right="57"/>
              <w:jc w:val="both"/>
              <w:rPr>
                <w:b/>
                <w:i/>
                <w:sz w:val="18"/>
                <w:szCs w:val="24"/>
              </w:rPr>
            </w:pPr>
            <w:r w:rsidRPr="00CF32CD">
              <w:rPr>
                <w:b/>
                <w:i/>
                <w:sz w:val="18"/>
                <w:szCs w:val="24"/>
              </w:rPr>
              <w:t>1027700045185</w:t>
            </w:r>
          </w:p>
        </w:tc>
      </w:tr>
      <w:tr w:rsidR="00D05981" w:rsidRPr="0040297F">
        <w:tblPrEx>
          <w:tblCellMar>
            <w:top w:w="0" w:type="dxa"/>
            <w:bottom w:w="0" w:type="dxa"/>
          </w:tblCellMar>
        </w:tblPrEx>
        <w:tc>
          <w:tcPr>
            <w:tcW w:w="4933" w:type="dxa"/>
          </w:tcPr>
          <w:p w:rsidR="00D05981" w:rsidRPr="00CF32CD" w:rsidRDefault="00D05981">
            <w:pPr>
              <w:ind w:left="57" w:right="57"/>
              <w:jc w:val="both"/>
              <w:rPr>
                <w:sz w:val="18"/>
                <w:szCs w:val="24"/>
              </w:rPr>
            </w:pPr>
            <w:r w:rsidRPr="00CF32CD">
              <w:rPr>
                <w:sz w:val="18"/>
                <w:szCs w:val="24"/>
              </w:rPr>
              <w:t>1.5. ИНН эмитента</w:t>
            </w:r>
          </w:p>
        </w:tc>
        <w:tc>
          <w:tcPr>
            <w:tcW w:w="5046" w:type="dxa"/>
          </w:tcPr>
          <w:p w:rsidR="00D05981" w:rsidRPr="00CF32CD" w:rsidRDefault="00D3360C">
            <w:pPr>
              <w:ind w:left="57" w:right="57"/>
              <w:jc w:val="both"/>
              <w:rPr>
                <w:b/>
                <w:i/>
                <w:sz w:val="18"/>
                <w:szCs w:val="24"/>
              </w:rPr>
            </w:pPr>
            <w:r w:rsidRPr="00CF32CD">
              <w:rPr>
                <w:b/>
                <w:i/>
                <w:sz w:val="18"/>
                <w:szCs w:val="24"/>
              </w:rPr>
              <w:t>7722024564</w:t>
            </w:r>
          </w:p>
        </w:tc>
      </w:tr>
      <w:tr w:rsidR="00D05981" w:rsidRPr="0040297F">
        <w:tblPrEx>
          <w:tblCellMar>
            <w:top w:w="0" w:type="dxa"/>
            <w:bottom w:w="0" w:type="dxa"/>
          </w:tblCellMar>
        </w:tblPrEx>
        <w:tc>
          <w:tcPr>
            <w:tcW w:w="4933" w:type="dxa"/>
          </w:tcPr>
          <w:p w:rsidR="00D05981" w:rsidRPr="00CF32CD" w:rsidRDefault="00D05981">
            <w:pPr>
              <w:ind w:left="57" w:right="57"/>
              <w:jc w:val="both"/>
              <w:rPr>
                <w:sz w:val="18"/>
                <w:szCs w:val="24"/>
              </w:rPr>
            </w:pPr>
            <w:r w:rsidRPr="00CF32CD">
              <w:rPr>
                <w:sz w:val="18"/>
                <w:szCs w:val="24"/>
              </w:rPr>
              <w:t>1.6. Уникальный код эмитента, присвоенный регистрирующим органом</w:t>
            </w:r>
          </w:p>
        </w:tc>
        <w:tc>
          <w:tcPr>
            <w:tcW w:w="5046" w:type="dxa"/>
          </w:tcPr>
          <w:p w:rsidR="00D05981" w:rsidRPr="00CF32CD" w:rsidRDefault="00D3360C">
            <w:pPr>
              <w:ind w:left="57" w:right="57"/>
              <w:jc w:val="both"/>
              <w:rPr>
                <w:b/>
                <w:i/>
                <w:sz w:val="18"/>
                <w:szCs w:val="24"/>
              </w:rPr>
            </w:pPr>
            <w:r w:rsidRPr="00CF32CD">
              <w:rPr>
                <w:b/>
                <w:i/>
                <w:sz w:val="18"/>
                <w:szCs w:val="24"/>
              </w:rPr>
              <w:t>00946-А</w:t>
            </w:r>
          </w:p>
        </w:tc>
      </w:tr>
      <w:tr w:rsidR="00D05981" w:rsidRPr="0040297F">
        <w:tblPrEx>
          <w:tblCellMar>
            <w:top w:w="0" w:type="dxa"/>
            <w:bottom w:w="0" w:type="dxa"/>
          </w:tblCellMar>
        </w:tblPrEx>
        <w:tc>
          <w:tcPr>
            <w:tcW w:w="4933" w:type="dxa"/>
          </w:tcPr>
          <w:p w:rsidR="00D05981" w:rsidRPr="00CF32CD" w:rsidRDefault="00D05981">
            <w:pPr>
              <w:ind w:left="57" w:right="57"/>
              <w:jc w:val="both"/>
              <w:rPr>
                <w:sz w:val="18"/>
                <w:szCs w:val="24"/>
              </w:rPr>
            </w:pPr>
            <w:r w:rsidRPr="00CF32CD">
              <w:rPr>
                <w:sz w:val="18"/>
                <w:szCs w:val="24"/>
              </w:rPr>
              <w:t>1.7. Адрес страницы в сети Интернет, используемой эмитентом для раскрытия информации</w:t>
            </w:r>
          </w:p>
        </w:tc>
        <w:tc>
          <w:tcPr>
            <w:tcW w:w="5046" w:type="dxa"/>
          </w:tcPr>
          <w:p w:rsidR="00D05981" w:rsidRPr="00CF32CD" w:rsidRDefault="00ED1644" w:rsidP="00D05981">
            <w:pPr>
              <w:ind w:right="57"/>
              <w:jc w:val="both"/>
              <w:rPr>
                <w:b/>
                <w:i/>
                <w:sz w:val="18"/>
                <w:szCs w:val="24"/>
              </w:rPr>
            </w:pPr>
            <w:hyperlink r:id="rId8" w:history="1">
              <w:r w:rsidRPr="00CF32CD">
                <w:rPr>
                  <w:rStyle w:val="a7"/>
                  <w:b/>
                  <w:i/>
                  <w:sz w:val="18"/>
                  <w:szCs w:val="24"/>
                  <w:lang w:val="en-US"/>
                </w:rPr>
                <w:t>http</w:t>
              </w:r>
              <w:r w:rsidRPr="00CF32CD">
                <w:rPr>
                  <w:rStyle w:val="a7"/>
                  <w:b/>
                  <w:i/>
                  <w:sz w:val="18"/>
                  <w:szCs w:val="24"/>
                </w:rPr>
                <w:t>://</w:t>
              </w:r>
              <w:r w:rsidRPr="00CF32CD">
                <w:rPr>
                  <w:rStyle w:val="a7"/>
                  <w:b/>
                  <w:i/>
                  <w:sz w:val="18"/>
                  <w:szCs w:val="24"/>
                  <w:lang w:val="en-US"/>
                </w:rPr>
                <w:t>www</w:t>
              </w:r>
              <w:r w:rsidRPr="00CF32CD">
                <w:rPr>
                  <w:rStyle w:val="a7"/>
                  <w:b/>
                  <w:i/>
                  <w:sz w:val="18"/>
                  <w:szCs w:val="24"/>
                </w:rPr>
                <w:t>.</w:t>
              </w:r>
              <w:r w:rsidRPr="00CF32CD">
                <w:rPr>
                  <w:rStyle w:val="a7"/>
                  <w:b/>
                  <w:i/>
                  <w:sz w:val="18"/>
                  <w:szCs w:val="24"/>
                  <w:lang w:val="en-US"/>
                </w:rPr>
                <w:t>e</w:t>
              </w:r>
              <w:r w:rsidRPr="00CF32CD">
                <w:rPr>
                  <w:rStyle w:val="a7"/>
                  <w:b/>
                  <w:i/>
                  <w:sz w:val="18"/>
                  <w:szCs w:val="24"/>
                </w:rPr>
                <w:t>-</w:t>
              </w:r>
              <w:r w:rsidRPr="00CF32CD">
                <w:rPr>
                  <w:rStyle w:val="a7"/>
                  <w:b/>
                  <w:i/>
                  <w:sz w:val="18"/>
                  <w:szCs w:val="24"/>
                  <w:lang w:val="en-US"/>
                </w:rPr>
                <w:t>disclosure</w:t>
              </w:r>
              <w:r w:rsidRPr="00CF32CD">
                <w:rPr>
                  <w:rStyle w:val="a7"/>
                  <w:b/>
                  <w:i/>
                  <w:sz w:val="18"/>
                  <w:szCs w:val="24"/>
                </w:rPr>
                <w:t>.</w:t>
              </w:r>
              <w:r w:rsidRPr="00CF32CD">
                <w:rPr>
                  <w:rStyle w:val="a7"/>
                  <w:b/>
                  <w:i/>
                  <w:sz w:val="18"/>
                  <w:szCs w:val="24"/>
                  <w:lang w:val="en-US"/>
                </w:rPr>
                <w:t>ru</w:t>
              </w:r>
              <w:r w:rsidRPr="00CF32CD">
                <w:rPr>
                  <w:rStyle w:val="a7"/>
                  <w:b/>
                  <w:i/>
                  <w:sz w:val="18"/>
                  <w:szCs w:val="24"/>
                </w:rPr>
                <w:t>/</w:t>
              </w:r>
              <w:r w:rsidRPr="00CF32CD">
                <w:rPr>
                  <w:rStyle w:val="a7"/>
                  <w:b/>
                  <w:i/>
                  <w:sz w:val="18"/>
                  <w:szCs w:val="24"/>
                  <w:lang w:val="en-US"/>
                </w:rPr>
                <w:t>portal</w:t>
              </w:r>
              <w:r w:rsidRPr="00CF32CD">
                <w:rPr>
                  <w:rStyle w:val="a7"/>
                  <w:b/>
                  <w:i/>
                  <w:sz w:val="18"/>
                  <w:szCs w:val="24"/>
                </w:rPr>
                <w:t>/</w:t>
              </w:r>
              <w:r w:rsidRPr="00CF32CD">
                <w:rPr>
                  <w:rStyle w:val="a7"/>
                  <w:b/>
                  <w:i/>
                  <w:sz w:val="18"/>
                  <w:szCs w:val="24"/>
                  <w:lang w:val="en-US"/>
                </w:rPr>
                <w:t>company</w:t>
              </w:r>
              <w:r w:rsidRPr="00CF32CD">
                <w:rPr>
                  <w:rStyle w:val="a7"/>
                  <w:b/>
                  <w:i/>
                  <w:sz w:val="18"/>
                  <w:szCs w:val="24"/>
                </w:rPr>
                <w:t>.</w:t>
              </w:r>
              <w:r w:rsidRPr="00CF32CD">
                <w:rPr>
                  <w:rStyle w:val="a7"/>
                  <w:b/>
                  <w:i/>
                  <w:sz w:val="18"/>
                  <w:szCs w:val="24"/>
                  <w:lang w:val="en-US"/>
                </w:rPr>
                <w:t>aspx</w:t>
              </w:r>
              <w:r w:rsidRPr="00CF32CD">
                <w:rPr>
                  <w:rStyle w:val="a7"/>
                  <w:b/>
                  <w:i/>
                  <w:sz w:val="18"/>
                  <w:szCs w:val="24"/>
                </w:rPr>
                <w:t>?</w:t>
              </w:r>
              <w:r w:rsidRPr="00CF32CD">
                <w:rPr>
                  <w:rStyle w:val="a7"/>
                  <w:b/>
                  <w:i/>
                  <w:sz w:val="18"/>
                  <w:szCs w:val="24"/>
                  <w:lang w:val="en-US"/>
                </w:rPr>
                <w:t>id</w:t>
              </w:r>
              <w:r w:rsidRPr="00CF32CD">
                <w:rPr>
                  <w:rStyle w:val="a7"/>
                  <w:b/>
                  <w:i/>
                  <w:sz w:val="18"/>
                  <w:szCs w:val="24"/>
                </w:rPr>
                <w:t>=1849</w:t>
              </w:r>
            </w:hyperlink>
          </w:p>
          <w:p w:rsidR="00ED1644" w:rsidRPr="00CF32CD" w:rsidRDefault="00CB36E6" w:rsidP="00D05981">
            <w:pPr>
              <w:ind w:right="57"/>
              <w:jc w:val="both"/>
              <w:rPr>
                <w:b/>
                <w:i/>
                <w:sz w:val="18"/>
                <w:szCs w:val="24"/>
              </w:rPr>
            </w:pPr>
            <w:hyperlink r:id="rId9" w:history="1">
              <w:r w:rsidRPr="00CF32CD">
                <w:rPr>
                  <w:rStyle w:val="a7"/>
                  <w:b/>
                  <w:i/>
                  <w:sz w:val="18"/>
                  <w:szCs w:val="24"/>
                  <w:lang w:val="en-US"/>
                </w:rPr>
                <w:t>http</w:t>
              </w:r>
              <w:r w:rsidRPr="00CF32CD">
                <w:rPr>
                  <w:rStyle w:val="a7"/>
                  <w:b/>
                  <w:i/>
                  <w:sz w:val="18"/>
                  <w:szCs w:val="24"/>
                </w:rPr>
                <w:t>://</w:t>
              </w:r>
              <w:r w:rsidRPr="00CF32CD">
                <w:rPr>
                  <w:rStyle w:val="a7"/>
                  <w:b/>
                  <w:i/>
                  <w:sz w:val="18"/>
                  <w:szCs w:val="24"/>
                  <w:lang w:val="en-US"/>
                </w:rPr>
                <w:t>www</w:t>
              </w:r>
              <w:r w:rsidRPr="00CF32CD">
                <w:rPr>
                  <w:rStyle w:val="a7"/>
                  <w:b/>
                  <w:i/>
                  <w:sz w:val="18"/>
                  <w:szCs w:val="24"/>
                </w:rPr>
                <w:t>.</w:t>
              </w:r>
              <w:r w:rsidRPr="00CF32CD">
                <w:rPr>
                  <w:rStyle w:val="a7"/>
                  <w:b/>
                  <w:i/>
                  <w:sz w:val="18"/>
                  <w:szCs w:val="24"/>
                  <w:lang w:val="en-US"/>
                </w:rPr>
                <w:t>sim</w:t>
              </w:r>
              <w:r w:rsidRPr="00CF32CD">
                <w:rPr>
                  <w:rStyle w:val="a7"/>
                  <w:b/>
                  <w:i/>
                  <w:sz w:val="18"/>
                  <w:szCs w:val="24"/>
                </w:rPr>
                <w:t>-</w:t>
              </w:r>
              <w:r w:rsidRPr="00CF32CD">
                <w:rPr>
                  <w:rStyle w:val="a7"/>
                  <w:b/>
                  <w:i/>
                  <w:sz w:val="18"/>
                  <w:szCs w:val="24"/>
                  <w:lang w:val="en-US"/>
                </w:rPr>
                <w:t>st</w:t>
              </w:r>
              <w:r w:rsidRPr="00CF32CD">
                <w:rPr>
                  <w:rStyle w:val="a7"/>
                  <w:b/>
                  <w:i/>
                  <w:sz w:val="18"/>
                  <w:szCs w:val="24"/>
                </w:rPr>
                <w:t>.</w:t>
              </w:r>
              <w:r w:rsidRPr="00CF32CD">
                <w:rPr>
                  <w:rStyle w:val="a7"/>
                  <w:b/>
                  <w:i/>
                  <w:sz w:val="18"/>
                  <w:szCs w:val="24"/>
                  <w:lang w:val="en-US"/>
                </w:rPr>
                <w:t>com</w:t>
              </w:r>
              <w:r w:rsidRPr="00CF32CD">
                <w:rPr>
                  <w:rStyle w:val="a7"/>
                  <w:b/>
                  <w:i/>
                  <w:sz w:val="18"/>
                  <w:szCs w:val="24"/>
                </w:rPr>
                <w:t>/</w:t>
              </w:r>
              <w:r w:rsidRPr="00CF32CD">
                <w:rPr>
                  <w:rStyle w:val="a7"/>
                  <w:b/>
                  <w:i/>
                  <w:sz w:val="18"/>
                  <w:szCs w:val="24"/>
                  <w:lang w:val="en-US"/>
                </w:rPr>
                <w:t>okom</w:t>
              </w:r>
              <w:r w:rsidRPr="00CF32CD">
                <w:rPr>
                  <w:rStyle w:val="a7"/>
                  <w:b/>
                  <w:i/>
                  <w:sz w:val="18"/>
                  <w:szCs w:val="24"/>
                </w:rPr>
                <w:t>.</w:t>
              </w:r>
              <w:r w:rsidRPr="00CF32CD">
                <w:rPr>
                  <w:rStyle w:val="a7"/>
                  <w:b/>
                  <w:i/>
                  <w:sz w:val="18"/>
                  <w:szCs w:val="24"/>
                  <w:lang w:val="en-US"/>
                </w:rPr>
                <w:t>htm</w:t>
              </w:r>
            </w:hyperlink>
          </w:p>
        </w:tc>
      </w:tr>
    </w:tbl>
    <w:p w:rsidR="00D05981" w:rsidRPr="0040297F" w:rsidRDefault="00D05981">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9979"/>
      </w:tblGrid>
      <w:tr w:rsidR="00D05981" w:rsidRPr="0040297F">
        <w:tblPrEx>
          <w:tblCellMar>
            <w:top w:w="0" w:type="dxa"/>
            <w:bottom w:w="0" w:type="dxa"/>
          </w:tblCellMar>
        </w:tblPrEx>
        <w:tc>
          <w:tcPr>
            <w:tcW w:w="9979" w:type="dxa"/>
          </w:tcPr>
          <w:p w:rsidR="00D05981" w:rsidRPr="0040297F" w:rsidRDefault="00D05981">
            <w:pPr>
              <w:jc w:val="center"/>
              <w:rPr>
                <w:sz w:val="24"/>
                <w:szCs w:val="24"/>
              </w:rPr>
            </w:pPr>
            <w:r w:rsidRPr="0040297F">
              <w:rPr>
                <w:sz w:val="24"/>
                <w:szCs w:val="24"/>
              </w:rPr>
              <w:t>2. Содержание сообщения</w:t>
            </w:r>
          </w:p>
        </w:tc>
      </w:tr>
      <w:tr w:rsidR="00D05981" w:rsidRPr="0040297F" w:rsidTr="003257E1">
        <w:tblPrEx>
          <w:tblCellMar>
            <w:top w:w="0" w:type="dxa"/>
            <w:bottom w:w="0" w:type="dxa"/>
          </w:tblCellMar>
        </w:tblPrEx>
        <w:trPr>
          <w:trHeight w:val="841"/>
        </w:trPr>
        <w:tc>
          <w:tcPr>
            <w:tcW w:w="9979" w:type="dxa"/>
          </w:tcPr>
          <w:p w:rsidR="003333AA" w:rsidRPr="0040297F" w:rsidRDefault="00AC1AAA" w:rsidP="00E90425">
            <w:pPr>
              <w:tabs>
                <w:tab w:val="left" w:pos="284"/>
                <w:tab w:val="left" w:pos="709"/>
              </w:tabs>
              <w:jc w:val="both"/>
              <w:rPr>
                <w:sz w:val="24"/>
                <w:szCs w:val="24"/>
              </w:rPr>
            </w:pPr>
            <w:r>
              <w:rPr>
                <w:rFonts w:ascii="Arial" w:hAnsi="Arial" w:cs="Arial"/>
                <w:color w:val="000000"/>
                <w:sz w:val="18"/>
                <w:szCs w:val="18"/>
                <w:shd w:val="clear" w:color="auto" w:fill="FFFFFF"/>
              </w:rPr>
              <w:t xml:space="preserve">2.1. Полное фирменное наименование (для некоммерческой организации - наименование), место нахождения, ИНН (если применимо), ОГРН (если применимо) юридического лица или фамилия, имя, отчество (если имеется) физического лица, у которого прекращено право распоряжаться определенным количеством голосов, приходящихся на голосующие акции (доли), составляющие уставный капитал эмитента: </w:t>
            </w:r>
            <w:r w:rsidR="00E90425">
              <w:rPr>
                <w:rFonts w:ascii="Arial" w:hAnsi="Arial" w:cs="Arial"/>
                <w:color w:val="000000"/>
                <w:sz w:val="18"/>
                <w:szCs w:val="18"/>
                <w:shd w:val="clear" w:color="auto" w:fill="FFFFFF"/>
              </w:rPr>
              <w:t>О</w:t>
            </w:r>
            <w:r>
              <w:rPr>
                <w:rFonts w:ascii="Arial" w:hAnsi="Arial" w:cs="Arial"/>
                <w:color w:val="000000"/>
                <w:sz w:val="18"/>
                <w:szCs w:val="18"/>
                <w:shd w:val="clear" w:color="auto" w:fill="FFFFFF"/>
              </w:rPr>
              <w:t>бщество</w:t>
            </w:r>
            <w:r w:rsidR="00E90425">
              <w:rPr>
                <w:rFonts w:ascii="Arial" w:hAnsi="Arial" w:cs="Arial"/>
                <w:color w:val="000000"/>
                <w:sz w:val="18"/>
                <w:szCs w:val="18"/>
                <w:shd w:val="clear" w:color="auto" w:fill="FFFFFF"/>
              </w:rPr>
              <w:t xml:space="preserve"> с ограниченной ответственностью</w:t>
            </w:r>
            <w:r>
              <w:rPr>
                <w:rFonts w:ascii="Arial" w:hAnsi="Arial" w:cs="Arial"/>
                <w:color w:val="000000"/>
                <w:sz w:val="18"/>
                <w:szCs w:val="18"/>
                <w:shd w:val="clear" w:color="auto" w:fill="FFFFFF"/>
              </w:rPr>
              <w:t xml:space="preserve"> «</w:t>
            </w:r>
            <w:r w:rsidR="00E90425">
              <w:rPr>
                <w:rFonts w:ascii="Arial" w:hAnsi="Arial" w:cs="Arial"/>
                <w:color w:val="000000"/>
                <w:sz w:val="18"/>
                <w:szCs w:val="18"/>
                <w:shd w:val="clear" w:color="auto" w:fill="FFFFFF"/>
              </w:rPr>
              <w:t>СиМ-Медиа</w:t>
            </w:r>
            <w:r>
              <w:rPr>
                <w:rFonts w:ascii="Arial" w:hAnsi="Arial" w:cs="Arial"/>
                <w:color w:val="000000"/>
                <w:sz w:val="18"/>
                <w:szCs w:val="18"/>
                <w:shd w:val="clear" w:color="auto" w:fill="FFFFFF"/>
              </w:rPr>
              <w:t>», место нахождения: 11</w:t>
            </w:r>
            <w:r w:rsidR="00E90425">
              <w:rPr>
                <w:rFonts w:ascii="Arial" w:hAnsi="Arial" w:cs="Arial"/>
                <w:color w:val="000000"/>
                <w:sz w:val="18"/>
                <w:szCs w:val="18"/>
                <w:shd w:val="clear" w:color="auto" w:fill="FFFFFF"/>
              </w:rPr>
              <w:t>1033</w:t>
            </w:r>
            <w:r>
              <w:rPr>
                <w:rFonts w:ascii="Arial" w:hAnsi="Arial" w:cs="Arial"/>
                <w:color w:val="000000"/>
                <w:sz w:val="18"/>
                <w:szCs w:val="18"/>
                <w:shd w:val="clear" w:color="auto" w:fill="FFFFFF"/>
              </w:rPr>
              <w:t xml:space="preserve">, г. Москва, </w:t>
            </w:r>
            <w:r w:rsidR="00E90425">
              <w:rPr>
                <w:rFonts w:ascii="Arial" w:hAnsi="Arial" w:cs="Arial"/>
                <w:color w:val="000000"/>
                <w:sz w:val="18"/>
                <w:szCs w:val="18"/>
                <w:shd w:val="clear" w:color="auto" w:fill="FFFFFF"/>
              </w:rPr>
              <w:t>ул. Золоторожский вал</w:t>
            </w:r>
            <w:r>
              <w:rPr>
                <w:rFonts w:ascii="Arial" w:hAnsi="Arial" w:cs="Arial"/>
                <w:color w:val="000000"/>
                <w:sz w:val="18"/>
                <w:szCs w:val="18"/>
                <w:shd w:val="clear" w:color="auto" w:fill="FFFFFF"/>
              </w:rPr>
              <w:t xml:space="preserve">, д. </w:t>
            </w:r>
            <w:r w:rsidR="00E90425">
              <w:rPr>
                <w:rFonts w:ascii="Arial" w:hAnsi="Arial" w:cs="Arial"/>
                <w:color w:val="000000"/>
                <w:sz w:val="18"/>
                <w:szCs w:val="18"/>
                <w:shd w:val="clear" w:color="auto" w:fill="FFFFFF"/>
              </w:rPr>
              <w:t>11</w:t>
            </w:r>
            <w:r>
              <w:rPr>
                <w:rFonts w:ascii="Arial" w:hAnsi="Arial" w:cs="Arial"/>
                <w:color w:val="000000"/>
                <w:sz w:val="18"/>
                <w:szCs w:val="18"/>
                <w:shd w:val="clear" w:color="auto" w:fill="FFFFFF"/>
              </w:rPr>
              <w:t xml:space="preserve">, </w:t>
            </w:r>
            <w:r w:rsidR="00E90425">
              <w:rPr>
                <w:rFonts w:ascii="Arial" w:hAnsi="Arial" w:cs="Arial"/>
                <w:color w:val="000000"/>
                <w:sz w:val="18"/>
                <w:szCs w:val="18"/>
                <w:shd w:val="clear" w:color="auto" w:fill="FFFFFF"/>
              </w:rPr>
              <w:t>стр. 55</w:t>
            </w:r>
            <w:r>
              <w:rPr>
                <w:rFonts w:ascii="Arial" w:hAnsi="Arial" w:cs="Arial"/>
                <w:color w:val="000000"/>
                <w:sz w:val="18"/>
                <w:szCs w:val="18"/>
                <w:shd w:val="clear" w:color="auto" w:fill="FFFFFF"/>
              </w:rPr>
              <w:t xml:space="preserve">, ИНН </w:t>
            </w:r>
            <w:r w:rsidR="00E90425" w:rsidRPr="00E90425">
              <w:rPr>
                <w:rFonts w:ascii="Arial" w:hAnsi="Arial" w:cs="Arial"/>
                <w:color w:val="000000"/>
                <w:sz w:val="18"/>
                <w:szCs w:val="18"/>
                <w:shd w:val="clear" w:color="auto" w:fill="FFFFFF"/>
              </w:rPr>
              <w:t>7722318966</w:t>
            </w:r>
            <w:r>
              <w:rPr>
                <w:rFonts w:ascii="Arial" w:hAnsi="Arial" w:cs="Arial"/>
                <w:color w:val="000000"/>
                <w:sz w:val="18"/>
                <w:szCs w:val="18"/>
                <w:shd w:val="clear" w:color="auto" w:fill="FFFFFF"/>
              </w:rPr>
              <w:t xml:space="preserve">, ОГРН </w:t>
            </w:r>
            <w:r w:rsidR="00E90425" w:rsidRPr="00E90425">
              <w:rPr>
                <w:rFonts w:ascii="Arial" w:hAnsi="Arial" w:cs="Arial"/>
                <w:color w:val="000000"/>
                <w:sz w:val="18"/>
                <w:szCs w:val="18"/>
                <w:shd w:val="clear" w:color="auto" w:fill="FFFFFF"/>
              </w:rPr>
              <w:t>1157746188170</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2.2. Вид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(прямое распоряжение; косвенное распоряжение): прямое распоряжение.</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2.3. В случае если оставшееся после прекращения у лица соответствующего права количество голосов, которым такое лицо имеет право косвенно распоряжаться, составляет пять или более процентов общего количества голосов, приходящихся на голосующие акции (доли), составляющие уставный капитал эмитента, последовательно все подконтрольные такому лицу организации (цепочка организаций, находящихся под прямым или косвенным контролем такого лица), через которых такое лицо имеет право косвенно распоряжаться определенным количеством голосов, приходящихся на голосующие акции (доли), составляющие уставный капитал эмитента. При этом по каждой такой организации указываются полное фирменное наименование, место нахождения, ИНН (если применимо), ОГРН (если применимо): не применимо.</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2.4. Признак права распоряжения определенным количеством голосов, приходящихся на голосующие акции (доли), составляющие уставный капитал эмитента, которое прекращено у соответствующего лица (самостоятельное распоряжение; совместное распоряжение с иными лицами): самостоятельное распоряжение.</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2.5. В случае если оставшееся после прекращения у лица соответствующего права количество голосов, которым такое лицо имеет право распоряжаться совместно с иными лицами, составляет пять или более процентов общего количества голосов, приходящихся на голосующие акции (доли), составляющие уставный капитал эмитента, полное фирменное наименование (для некоммерческой организации - наименование), место нахождения, ИНН (если применимо), ОГРН (если применимо) каждого юридического лица или фамилия, имя, отчество (если имеется) каждого физического лица, совместно с которыми лицо имеет право распоряжаться определенным количеством голосов, приходящихся на голосующие акции (доли), составляющие уставный капитал эмитента: не применимо.</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2.6. Основание, в силу которого у лица прекращено право распоряжаться определенным количеством голосов, приходящихся на голосующие акции (доли), составляющие уставный капитал эмитента (прекращение (снижение доли) участия в эмитенте; расторжение или прекращение по иным основаниям договора доверительного управления имуществом, договора простого товарищества, договора поручения, акционерного соглашения и (или) иного соглашения, предметом которого являлось осуществление прав, удостоверенных акциями (долями) эмитента): снижение доли участия в эмитенте в результате дополнительного выпуска ценных бумаг.</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2.7. Количество и доля голосов в процентах, приходящихся на голосующие акции (доли), составляющие уставный капитал эмитента, которым имело право распоряжаться лицо до наступления соответствующего основания: </w:t>
            </w:r>
            <w:r w:rsidR="0023370E">
              <w:rPr>
                <w:rFonts w:ascii="Arial" w:hAnsi="Arial" w:cs="Arial"/>
                <w:color w:val="000000"/>
                <w:sz w:val="18"/>
                <w:szCs w:val="18"/>
                <w:shd w:val="clear" w:color="auto" w:fill="FFFFFF"/>
              </w:rPr>
              <w:t>263 548</w:t>
            </w:r>
            <w:r>
              <w:rPr>
                <w:rFonts w:ascii="Arial" w:hAnsi="Arial" w:cs="Arial"/>
                <w:color w:val="000000"/>
                <w:sz w:val="18"/>
                <w:szCs w:val="18"/>
                <w:shd w:val="clear" w:color="auto" w:fill="FFFFFF"/>
              </w:rPr>
              <w:t xml:space="preserve"> обыкновенных именных акций/1</w:t>
            </w:r>
            <w:r w:rsidR="0023370E">
              <w:rPr>
                <w:rFonts w:ascii="Arial" w:hAnsi="Arial" w:cs="Arial"/>
                <w:color w:val="000000"/>
                <w:sz w:val="18"/>
                <w:szCs w:val="18"/>
                <w:shd w:val="clear" w:color="auto" w:fill="FFFFFF"/>
              </w:rPr>
              <w:t>7</w:t>
            </w:r>
            <w:r>
              <w:rPr>
                <w:rFonts w:ascii="Arial" w:hAnsi="Arial" w:cs="Arial"/>
                <w:color w:val="000000"/>
                <w:sz w:val="18"/>
                <w:szCs w:val="18"/>
                <w:shd w:val="clear" w:color="auto" w:fill="FFFFFF"/>
              </w:rPr>
              <w:t>,</w:t>
            </w:r>
            <w:r w:rsidR="0023370E">
              <w:rPr>
                <w:rFonts w:ascii="Arial" w:hAnsi="Arial" w:cs="Arial"/>
                <w:color w:val="000000"/>
                <w:sz w:val="18"/>
                <w:szCs w:val="18"/>
                <w:shd w:val="clear" w:color="auto" w:fill="FFFFFF"/>
              </w:rPr>
              <w:t>1981</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 xml:space="preserve">2.8. Количество и доля голосов в процентах, приходящихся на голосующие акции (доли), составляющие уставный капитал эмитента, которым имеет право распоряжаться лицо после наступления соответствующего основания: </w:t>
            </w:r>
            <w:r w:rsidR="0023370E">
              <w:rPr>
                <w:rFonts w:ascii="Arial" w:hAnsi="Arial" w:cs="Arial"/>
                <w:color w:val="000000"/>
                <w:sz w:val="18"/>
                <w:szCs w:val="18"/>
                <w:shd w:val="clear" w:color="auto" w:fill="FFFFFF"/>
              </w:rPr>
              <w:t>263 548</w:t>
            </w:r>
            <w:r>
              <w:rPr>
                <w:rFonts w:ascii="Arial" w:hAnsi="Arial" w:cs="Arial"/>
                <w:color w:val="000000"/>
                <w:sz w:val="18"/>
                <w:szCs w:val="18"/>
                <w:shd w:val="clear" w:color="auto" w:fill="FFFFFF"/>
              </w:rPr>
              <w:t xml:space="preserve"> обыкновенных именных акций/5,</w:t>
            </w:r>
            <w:r w:rsidR="0023370E">
              <w:rPr>
                <w:rFonts w:ascii="Arial" w:hAnsi="Arial" w:cs="Arial"/>
                <w:color w:val="000000"/>
                <w:sz w:val="18"/>
                <w:szCs w:val="18"/>
                <w:shd w:val="clear" w:color="auto" w:fill="FFFFFF"/>
              </w:rPr>
              <w:t>81</w:t>
            </w:r>
            <w:r>
              <w:rPr>
                <w:rFonts w:ascii="Arial" w:hAnsi="Arial" w:cs="Arial"/>
                <w:color w:val="000000"/>
                <w:sz w:val="18"/>
                <w:szCs w:val="18"/>
                <w:shd w:val="clear" w:color="auto" w:fill="FFFFFF"/>
              </w:rPr>
              <w:t>%</w:t>
            </w:r>
            <w:r>
              <w:rPr>
                <w:rStyle w:val="apple-converted-space"/>
                <w:rFonts w:ascii="Arial" w:hAnsi="Arial" w:cs="Arial"/>
                <w:color w:val="000000"/>
                <w:sz w:val="18"/>
                <w:szCs w:val="18"/>
                <w:shd w:val="clear" w:color="auto" w:fill="FFFFFF"/>
              </w:rPr>
              <w:t> </w:t>
            </w:r>
            <w:r>
              <w:rPr>
                <w:rFonts w:ascii="Arial" w:hAnsi="Arial" w:cs="Arial"/>
                <w:color w:val="000000"/>
                <w:sz w:val="18"/>
                <w:szCs w:val="18"/>
              </w:rPr>
              <w:br/>
            </w:r>
            <w:r>
              <w:rPr>
                <w:rFonts w:ascii="Arial" w:hAnsi="Arial" w:cs="Arial"/>
                <w:color w:val="000000"/>
                <w:sz w:val="18"/>
                <w:szCs w:val="18"/>
                <w:shd w:val="clear" w:color="auto" w:fill="FFFFFF"/>
              </w:rPr>
              <w:t>2.9. Дата наступления основания, в силу которого у лица прекращено право распоряжаться определенным количеством гол</w:t>
            </w:r>
            <w:r w:rsidRPr="00322F12">
              <w:rPr>
                <w:rFonts w:ascii="Arial" w:hAnsi="Arial" w:cs="Arial"/>
                <w:color w:val="000000"/>
                <w:sz w:val="18"/>
                <w:szCs w:val="18"/>
                <w:shd w:val="clear" w:color="auto" w:fill="FFFFFF"/>
              </w:rPr>
              <w:t>осов, приходящихся на голосующие акции (доли), составляющие уставный капитал эмитента: 8 июня 2017 года.</w:t>
            </w:r>
            <w:r>
              <w:rPr>
                <w:rStyle w:val="apple-converted-space"/>
                <w:rFonts w:ascii="Arial" w:hAnsi="Arial" w:cs="Arial"/>
                <w:color w:val="000000"/>
                <w:sz w:val="18"/>
                <w:szCs w:val="18"/>
                <w:shd w:val="clear" w:color="auto" w:fill="FFFFFF"/>
              </w:rPr>
              <w:t> </w:t>
            </w:r>
          </w:p>
        </w:tc>
      </w:tr>
    </w:tbl>
    <w:p w:rsidR="00D05981" w:rsidRPr="0040297F" w:rsidRDefault="00D05981" w:rsidP="00847A23">
      <w:pPr>
        <w:jc w:val="both"/>
        <w:rPr>
          <w:sz w:val="24"/>
          <w:szCs w:val="24"/>
        </w:rPr>
      </w:pPr>
    </w:p>
    <w:tbl>
      <w:tblPr>
        <w:tblW w:w="9979" w:type="dxa"/>
        <w:tblLayout w:type="fixed"/>
        <w:tblCellMar>
          <w:left w:w="28" w:type="dxa"/>
          <w:right w:w="28" w:type="dxa"/>
        </w:tblCellMar>
        <w:tblLook w:val="0000" w:firstRow="0" w:lastRow="0" w:firstColumn="0" w:lastColumn="0" w:noHBand="0" w:noVBand="0"/>
      </w:tblPr>
      <w:tblGrid>
        <w:gridCol w:w="1077"/>
        <w:gridCol w:w="227"/>
        <w:gridCol w:w="368"/>
        <w:gridCol w:w="255"/>
        <w:gridCol w:w="1474"/>
        <w:gridCol w:w="397"/>
        <w:gridCol w:w="369"/>
        <w:gridCol w:w="539"/>
        <w:gridCol w:w="1701"/>
        <w:gridCol w:w="907"/>
        <w:gridCol w:w="2552"/>
        <w:gridCol w:w="113"/>
      </w:tblGrid>
      <w:tr w:rsidR="00D05981" w:rsidRPr="0040297F" w:rsidTr="00BD0816">
        <w:tblPrEx>
          <w:tblCellMar>
            <w:top w:w="0" w:type="dxa"/>
            <w:bottom w:w="0" w:type="dxa"/>
          </w:tblCellMar>
        </w:tblPrEx>
        <w:tc>
          <w:tcPr>
            <w:tcW w:w="9979" w:type="dxa"/>
            <w:gridSpan w:val="12"/>
            <w:tcBorders>
              <w:top w:val="single" w:sz="4" w:space="0" w:color="auto"/>
              <w:left w:val="single" w:sz="4" w:space="0" w:color="auto"/>
              <w:bottom w:val="single" w:sz="4" w:space="0" w:color="auto"/>
              <w:right w:val="single" w:sz="4" w:space="0" w:color="auto"/>
            </w:tcBorders>
          </w:tcPr>
          <w:p w:rsidR="00D05981" w:rsidRPr="0040297F" w:rsidRDefault="00D05981" w:rsidP="00847A23">
            <w:pPr>
              <w:jc w:val="both"/>
              <w:rPr>
                <w:sz w:val="24"/>
                <w:szCs w:val="24"/>
              </w:rPr>
            </w:pPr>
            <w:r w:rsidRPr="0040297F">
              <w:rPr>
                <w:sz w:val="24"/>
                <w:szCs w:val="24"/>
              </w:rPr>
              <w:t>3. Подпись</w:t>
            </w:r>
          </w:p>
        </w:tc>
      </w:tr>
      <w:tr w:rsidR="00D05981" w:rsidRPr="0040297F" w:rsidTr="00BD0816">
        <w:tblPrEx>
          <w:tblCellMar>
            <w:top w:w="0" w:type="dxa"/>
            <w:bottom w:w="0" w:type="dxa"/>
          </w:tblCellMar>
        </w:tblPrEx>
        <w:tc>
          <w:tcPr>
            <w:tcW w:w="4706" w:type="dxa"/>
            <w:gridSpan w:val="8"/>
            <w:tcBorders>
              <w:top w:val="single" w:sz="4" w:space="0" w:color="auto"/>
              <w:left w:val="single" w:sz="4" w:space="0" w:color="auto"/>
              <w:bottom w:val="nil"/>
              <w:right w:val="nil"/>
            </w:tcBorders>
            <w:vAlign w:val="bottom"/>
          </w:tcPr>
          <w:p w:rsidR="00D05981" w:rsidRPr="0040297F" w:rsidRDefault="00D05981" w:rsidP="00847A23">
            <w:pPr>
              <w:ind w:left="57"/>
              <w:jc w:val="both"/>
              <w:rPr>
                <w:sz w:val="24"/>
                <w:szCs w:val="24"/>
              </w:rPr>
            </w:pPr>
            <w:r w:rsidRPr="0040297F">
              <w:rPr>
                <w:sz w:val="24"/>
                <w:szCs w:val="24"/>
              </w:rPr>
              <w:t>3.1</w:t>
            </w:r>
            <w:r w:rsidR="0020695B" w:rsidRPr="0040297F">
              <w:rPr>
                <w:sz w:val="24"/>
                <w:szCs w:val="24"/>
              </w:rPr>
              <w:t xml:space="preserve">. </w:t>
            </w:r>
            <w:r w:rsidR="00DE7077" w:rsidRPr="0040297F">
              <w:rPr>
                <w:sz w:val="24"/>
                <w:szCs w:val="24"/>
              </w:rPr>
              <w:t>Генеральный директор</w:t>
            </w:r>
          </w:p>
        </w:tc>
        <w:tc>
          <w:tcPr>
            <w:tcW w:w="1701" w:type="dxa"/>
            <w:tcBorders>
              <w:top w:val="nil"/>
              <w:left w:val="nil"/>
              <w:bottom w:val="single" w:sz="4" w:space="0" w:color="auto"/>
              <w:right w:val="nil"/>
            </w:tcBorders>
            <w:vAlign w:val="bottom"/>
          </w:tcPr>
          <w:p w:rsidR="00D05981" w:rsidRPr="0040297F" w:rsidRDefault="00D05981" w:rsidP="00847A23">
            <w:pPr>
              <w:jc w:val="both"/>
              <w:rPr>
                <w:sz w:val="24"/>
                <w:szCs w:val="24"/>
              </w:rPr>
            </w:pPr>
          </w:p>
        </w:tc>
        <w:tc>
          <w:tcPr>
            <w:tcW w:w="907" w:type="dxa"/>
            <w:tcBorders>
              <w:top w:val="nil"/>
              <w:left w:val="nil"/>
              <w:bottom w:val="nil"/>
              <w:right w:val="nil"/>
            </w:tcBorders>
            <w:vAlign w:val="bottom"/>
          </w:tcPr>
          <w:p w:rsidR="00D05981" w:rsidRPr="0040297F" w:rsidRDefault="00D05981" w:rsidP="00847A23">
            <w:pPr>
              <w:jc w:val="both"/>
              <w:rPr>
                <w:sz w:val="24"/>
                <w:szCs w:val="24"/>
              </w:rPr>
            </w:pPr>
          </w:p>
        </w:tc>
        <w:tc>
          <w:tcPr>
            <w:tcW w:w="2552" w:type="dxa"/>
            <w:tcBorders>
              <w:top w:val="nil"/>
              <w:left w:val="nil"/>
              <w:bottom w:val="nil"/>
              <w:right w:val="nil"/>
            </w:tcBorders>
            <w:vAlign w:val="bottom"/>
          </w:tcPr>
          <w:p w:rsidR="00D05981" w:rsidRPr="0040297F" w:rsidRDefault="00DE7077" w:rsidP="00847A23">
            <w:pPr>
              <w:jc w:val="both"/>
              <w:rPr>
                <w:sz w:val="24"/>
                <w:szCs w:val="24"/>
              </w:rPr>
            </w:pPr>
            <w:r w:rsidRPr="0040297F">
              <w:rPr>
                <w:sz w:val="24"/>
                <w:szCs w:val="24"/>
              </w:rPr>
              <w:t>Травников Е.П</w:t>
            </w:r>
            <w:r w:rsidR="001628D5" w:rsidRPr="0040297F">
              <w:rPr>
                <w:sz w:val="24"/>
                <w:szCs w:val="24"/>
              </w:rPr>
              <w:t>.</w:t>
            </w:r>
            <w:r w:rsidRPr="0040297F">
              <w:rPr>
                <w:sz w:val="24"/>
                <w:szCs w:val="24"/>
              </w:rPr>
              <w:t xml:space="preserve"> </w:t>
            </w:r>
          </w:p>
        </w:tc>
        <w:tc>
          <w:tcPr>
            <w:tcW w:w="113" w:type="dxa"/>
            <w:tcBorders>
              <w:top w:val="single" w:sz="4" w:space="0" w:color="auto"/>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4706" w:type="dxa"/>
            <w:gridSpan w:val="8"/>
            <w:tcBorders>
              <w:top w:val="nil"/>
              <w:left w:val="single" w:sz="4" w:space="0" w:color="auto"/>
              <w:bottom w:val="nil"/>
              <w:right w:val="nil"/>
            </w:tcBorders>
          </w:tcPr>
          <w:p w:rsidR="00D05981" w:rsidRPr="0040297F" w:rsidRDefault="00DE7077" w:rsidP="00847A23">
            <w:pPr>
              <w:ind w:left="57"/>
              <w:jc w:val="both"/>
              <w:rPr>
                <w:sz w:val="24"/>
                <w:szCs w:val="24"/>
              </w:rPr>
            </w:pPr>
            <w:r w:rsidRPr="0040297F">
              <w:rPr>
                <w:sz w:val="24"/>
                <w:szCs w:val="24"/>
              </w:rPr>
              <w:t>ОАО «СиМ СТ»</w:t>
            </w:r>
          </w:p>
        </w:tc>
        <w:tc>
          <w:tcPr>
            <w:tcW w:w="1701" w:type="dxa"/>
            <w:tcBorders>
              <w:top w:val="nil"/>
              <w:left w:val="nil"/>
              <w:bottom w:val="nil"/>
              <w:right w:val="nil"/>
            </w:tcBorders>
          </w:tcPr>
          <w:p w:rsidR="00D05981" w:rsidRPr="0040297F" w:rsidRDefault="00D05981" w:rsidP="00847A23">
            <w:pPr>
              <w:jc w:val="both"/>
              <w:rPr>
                <w:sz w:val="24"/>
                <w:szCs w:val="24"/>
              </w:rPr>
            </w:pPr>
            <w:r w:rsidRPr="0040297F">
              <w:rPr>
                <w:sz w:val="24"/>
                <w:szCs w:val="24"/>
              </w:rPr>
              <w:t>(подпись)</w:t>
            </w:r>
          </w:p>
        </w:tc>
        <w:tc>
          <w:tcPr>
            <w:tcW w:w="907" w:type="dxa"/>
            <w:tcBorders>
              <w:top w:val="nil"/>
              <w:left w:val="nil"/>
              <w:bottom w:val="nil"/>
              <w:right w:val="nil"/>
            </w:tcBorders>
          </w:tcPr>
          <w:p w:rsidR="00D05981" w:rsidRPr="0040297F" w:rsidRDefault="00D05981" w:rsidP="00847A23">
            <w:pPr>
              <w:jc w:val="both"/>
              <w:rPr>
                <w:sz w:val="24"/>
                <w:szCs w:val="24"/>
              </w:rPr>
            </w:pPr>
          </w:p>
        </w:tc>
        <w:tc>
          <w:tcPr>
            <w:tcW w:w="2552" w:type="dxa"/>
            <w:tcBorders>
              <w:top w:val="nil"/>
              <w:left w:val="nil"/>
              <w:bottom w:val="nil"/>
              <w:right w:val="nil"/>
            </w:tcBorders>
          </w:tcPr>
          <w:p w:rsidR="00D05981" w:rsidRPr="0040297F" w:rsidRDefault="00D05981" w:rsidP="00847A23">
            <w:pPr>
              <w:jc w:val="both"/>
              <w:rPr>
                <w:sz w:val="24"/>
                <w:szCs w:val="24"/>
              </w:rPr>
            </w:pPr>
          </w:p>
        </w:tc>
        <w:tc>
          <w:tcPr>
            <w:tcW w:w="113" w:type="dxa"/>
            <w:tcBorders>
              <w:top w:val="nil"/>
              <w:left w:val="nil"/>
              <w:bottom w:val="nil"/>
              <w:right w:val="single" w:sz="4" w:space="0" w:color="auto"/>
            </w:tcBorders>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1077" w:type="dxa"/>
            <w:tcBorders>
              <w:top w:val="nil"/>
              <w:left w:val="single" w:sz="4" w:space="0" w:color="auto"/>
              <w:bottom w:val="nil"/>
              <w:right w:val="nil"/>
            </w:tcBorders>
            <w:vAlign w:val="bottom"/>
          </w:tcPr>
          <w:p w:rsidR="00D05981" w:rsidRPr="0040297F" w:rsidRDefault="00D05981" w:rsidP="00847A23">
            <w:pPr>
              <w:spacing w:before="240"/>
              <w:ind w:left="57"/>
              <w:jc w:val="both"/>
              <w:rPr>
                <w:sz w:val="24"/>
                <w:szCs w:val="24"/>
              </w:rPr>
            </w:pPr>
            <w:r w:rsidRPr="0040297F">
              <w:rPr>
                <w:sz w:val="24"/>
                <w:szCs w:val="24"/>
              </w:rPr>
              <w:t>3.2. Дата</w:t>
            </w:r>
          </w:p>
        </w:tc>
        <w:tc>
          <w:tcPr>
            <w:tcW w:w="22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368" w:type="dxa"/>
            <w:tcBorders>
              <w:top w:val="nil"/>
              <w:left w:val="nil"/>
              <w:bottom w:val="single" w:sz="4" w:space="0" w:color="auto"/>
              <w:right w:val="nil"/>
            </w:tcBorders>
            <w:vAlign w:val="bottom"/>
          </w:tcPr>
          <w:p w:rsidR="00D05981" w:rsidRPr="0040297F" w:rsidRDefault="00322F12" w:rsidP="002537E7">
            <w:pPr>
              <w:jc w:val="both"/>
              <w:rPr>
                <w:sz w:val="24"/>
                <w:szCs w:val="24"/>
              </w:rPr>
            </w:pPr>
            <w:r>
              <w:rPr>
                <w:sz w:val="24"/>
                <w:szCs w:val="24"/>
              </w:rPr>
              <w:t xml:space="preserve"> 9</w:t>
            </w:r>
          </w:p>
        </w:tc>
        <w:tc>
          <w:tcPr>
            <w:tcW w:w="255"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w:t>
            </w:r>
          </w:p>
        </w:tc>
        <w:tc>
          <w:tcPr>
            <w:tcW w:w="1474" w:type="dxa"/>
            <w:tcBorders>
              <w:top w:val="nil"/>
              <w:left w:val="nil"/>
              <w:bottom w:val="single" w:sz="4" w:space="0" w:color="auto"/>
              <w:right w:val="nil"/>
            </w:tcBorders>
            <w:vAlign w:val="bottom"/>
          </w:tcPr>
          <w:p w:rsidR="00D05981" w:rsidRPr="0040297F" w:rsidRDefault="00AC1AAA" w:rsidP="00847A23">
            <w:pPr>
              <w:jc w:val="both"/>
              <w:rPr>
                <w:sz w:val="24"/>
                <w:szCs w:val="24"/>
              </w:rPr>
            </w:pPr>
            <w:r>
              <w:rPr>
                <w:sz w:val="24"/>
                <w:szCs w:val="24"/>
              </w:rPr>
              <w:t>июня</w:t>
            </w:r>
          </w:p>
        </w:tc>
        <w:tc>
          <w:tcPr>
            <w:tcW w:w="397"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20</w:t>
            </w:r>
          </w:p>
        </w:tc>
        <w:tc>
          <w:tcPr>
            <w:tcW w:w="369" w:type="dxa"/>
            <w:tcBorders>
              <w:top w:val="nil"/>
              <w:left w:val="nil"/>
              <w:bottom w:val="single" w:sz="4" w:space="0" w:color="auto"/>
              <w:right w:val="nil"/>
            </w:tcBorders>
            <w:vAlign w:val="bottom"/>
          </w:tcPr>
          <w:p w:rsidR="00D05981" w:rsidRPr="0040297F" w:rsidRDefault="00DE7077" w:rsidP="002537E7">
            <w:pPr>
              <w:jc w:val="both"/>
              <w:rPr>
                <w:sz w:val="24"/>
                <w:szCs w:val="24"/>
              </w:rPr>
            </w:pPr>
            <w:r w:rsidRPr="0040297F">
              <w:rPr>
                <w:sz w:val="24"/>
                <w:szCs w:val="24"/>
              </w:rPr>
              <w:t>1</w:t>
            </w:r>
            <w:r w:rsidR="002537E7">
              <w:rPr>
                <w:sz w:val="24"/>
                <w:szCs w:val="24"/>
              </w:rPr>
              <w:t>7</w:t>
            </w:r>
          </w:p>
        </w:tc>
        <w:tc>
          <w:tcPr>
            <w:tcW w:w="539" w:type="dxa"/>
            <w:tcBorders>
              <w:top w:val="nil"/>
              <w:left w:val="nil"/>
              <w:bottom w:val="nil"/>
              <w:right w:val="nil"/>
            </w:tcBorders>
            <w:vAlign w:val="bottom"/>
          </w:tcPr>
          <w:p w:rsidR="00D05981" w:rsidRPr="0040297F" w:rsidRDefault="00D05981" w:rsidP="00847A23">
            <w:pPr>
              <w:ind w:left="57"/>
              <w:jc w:val="both"/>
              <w:rPr>
                <w:sz w:val="24"/>
                <w:szCs w:val="24"/>
              </w:rPr>
            </w:pPr>
            <w:r w:rsidRPr="0040297F">
              <w:rPr>
                <w:sz w:val="24"/>
                <w:szCs w:val="24"/>
              </w:rPr>
              <w:t>г.</w:t>
            </w:r>
          </w:p>
        </w:tc>
        <w:tc>
          <w:tcPr>
            <w:tcW w:w="1701" w:type="dxa"/>
            <w:tcBorders>
              <w:top w:val="nil"/>
              <w:left w:val="nil"/>
              <w:bottom w:val="nil"/>
              <w:right w:val="nil"/>
            </w:tcBorders>
            <w:vAlign w:val="bottom"/>
          </w:tcPr>
          <w:p w:rsidR="00D05981" w:rsidRPr="0040297F" w:rsidRDefault="00D05981" w:rsidP="00847A23">
            <w:pPr>
              <w:jc w:val="both"/>
              <w:rPr>
                <w:sz w:val="24"/>
                <w:szCs w:val="24"/>
              </w:rPr>
            </w:pPr>
            <w:r w:rsidRPr="0040297F">
              <w:rPr>
                <w:sz w:val="24"/>
                <w:szCs w:val="24"/>
              </w:rPr>
              <w:t>М.П.</w:t>
            </w:r>
          </w:p>
        </w:tc>
        <w:tc>
          <w:tcPr>
            <w:tcW w:w="3572" w:type="dxa"/>
            <w:gridSpan w:val="3"/>
            <w:tcBorders>
              <w:top w:val="nil"/>
              <w:left w:val="nil"/>
              <w:bottom w:val="nil"/>
              <w:right w:val="single" w:sz="4" w:space="0" w:color="auto"/>
            </w:tcBorders>
            <w:vAlign w:val="bottom"/>
          </w:tcPr>
          <w:p w:rsidR="00D05981" w:rsidRPr="0040297F" w:rsidRDefault="00D05981" w:rsidP="00847A23">
            <w:pPr>
              <w:jc w:val="both"/>
              <w:rPr>
                <w:sz w:val="24"/>
                <w:szCs w:val="24"/>
              </w:rPr>
            </w:pPr>
          </w:p>
        </w:tc>
      </w:tr>
      <w:tr w:rsidR="00D05981" w:rsidRPr="0040297F" w:rsidTr="00BD0816">
        <w:tblPrEx>
          <w:tblCellMar>
            <w:top w:w="0" w:type="dxa"/>
            <w:bottom w:w="0" w:type="dxa"/>
          </w:tblCellMar>
        </w:tblPrEx>
        <w:tc>
          <w:tcPr>
            <w:tcW w:w="9979" w:type="dxa"/>
            <w:gridSpan w:val="12"/>
            <w:tcBorders>
              <w:top w:val="nil"/>
              <w:left w:val="single" w:sz="4" w:space="0" w:color="auto"/>
              <w:bottom w:val="single" w:sz="4" w:space="0" w:color="auto"/>
              <w:right w:val="single" w:sz="4" w:space="0" w:color="auto"/>
            </w:tcBorders>
          </w:tcPr>
          <w:p w:rsidR="00D05981" w:rsidRPr="0040297F" w:rsidRDefault="00D05981" w:rsidP="00847A23">
            <w:pPr>
              <w:jc w:val="both"/>
              <w:rPr>
                <w:sz w:val="24"/>
                <w:szCs w:val="24"/>
              </w:rPr>
            </w:pPr>
          </w:p>
        </w:tc>
      </w:tr>
    </w:tbl>
    <w:p w:rsidR="00D05981" w:rsidRDefault="00D05981" w:rsidP="00847A23">
      <w:pPr>
        <w:jc w:val="both"/>
        <w:rPr>
          <w:sz w:val="24"/>
          <w:szCs w:val="24"/>
        </w:rPr>
      </w:pPr>
    </w:p>
    <w:sectPr w:rsidR="00D05981" w:rsidSect="00200211">
      <w:pgSz w:w="11906" w:h="16838"/>
      <w:pgMar w:top="568" w:right="850" w:bottom="567"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A4966" w:rsidRDefault="008A4966">
      <w:r>
        <w:separator/>
      </w:r>
    </w:p>
  </w:endnote>
  <w:endnote w:type="continuationSeparator" w:id="0">
    <w:p w:rsidR="008A4966" w:rsidRDefault="008A4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altName w:val="Century Gothic"/>
    <w:panose1 w:val="020F0502020204030204"/>
    <w:charset w:val="CC"/>
    <w:family w:val="swiss"/>
    <w:pitch w:val="variable"/>
    <w:sig w:usb0="E10002FF" w:usb1="4000ACFF" w:usb2="00000009" w:usb3="00000000" w:csb0="0000019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A4966" w:rsidRDefault="008A4966">
      <w:r>
        <w:separator/>
      </w:r>
    </w:p>
  </w:footnote>
  <w:footnote w:type="continuationSeparator" w:id="0">
    <w:p w:rsidR="008A4966" w:rsidRDefault="008A49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21161F"/>
    <w:multiLevelType w:val="hybridMultilevel"/>
    <w:tmpl w:val="9AF8820E"/>
    <w:lvl w:ilvl="0" w:tplc="E042F410">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6544"/>
    <w:rsid w:val="00060B6C"/>
    <w:rsid w:val="000B40FB"/>
    <w:rsid w:val="000B4151"/>
    <w:rsid w:val="000C205B"/>
    <w:rsid w:val="00101A00"/>
    <w:rsid w:val="001628D5"/>
    <w:rsid w:val="00165370"/>
    <w:rsid w:val="00171FB1"/>
    <w:rsid w:val="001920DA"/>
    <w:rsid w:val="001E126E"/>
    <w:rsid w:val="001E2925"/>
    <w:rsid w:val="00200211"/>
    <w:rsid w:val="0020695B"/>
    <w:rsid w:val="0023370E"/>
    <w:rsid w:val="00233F7A"/>
    <w:rsid w:val="00242F28"/>
    <w:rsid w:val="002537E7"/>
    <w:rsid w:val="00253C4D"/>
    <w:rsid w:val="002709AC"/>
    <w:rsid w:val="00282879"/>
    <w:rsid w:val="002B2F2D"/>
    <w:rsid w:val="002B6AA1"/>
    <w:rsid w:val="00305206"/>
    <w:rsid w:val="00311EC4"/>
    <w:rsid w:val="00321FF4"/>
    <w:rsid w:val="00322F12"/>
    <w:rsid w:val="003257E1"/>
    <w:rsid w:val="003333AA"/>
    <w:rsid w:val="00342FE3"/>
    <w:rsid w:val="003972B5"/>
    <w:rsid w:val="0040297F"/>
    <w:rsid w:val="00403A25"/>
    <w:rsid w:val="004A372C"/>
    <w:rsid w:val="004E6D2A"/>
    <w:rsid w:val="004F1674"/>
    <w:rsid w:val="00540805"/>
    <w:rsid w:val="00555D43"/>
    <w:rsid w:val="0058067A"/>
    <w:rsid w:val="0058153B"/>
    <w:rsid w:val="00597D10"/>
    <w:rsid w:val="005B0881"/>
    <w:rsid w:val="005C6D07"/>
    <w:rsid w:val="005E18C7"/>
    <w:rsid w:val="006211B6"/>
    <w:rsid w:val="0066362C"/>
    <w:rsid w:val="006D71AD"/>
    <w:rsid w:val="006F063B"/>
    <w:rsid w:val="00725970"/>
    <w:rsid w:val="0073234B"/>
    <w:rsid w:val="00742622"/>
    <w:rsid w:val="007719C5"/>
    <w:rsid w:val="007B5522"/>
    <w:rsid w:val="00845954"/>
    <w:rsid w:val="00847A23"/>
    <w:rsid w:val="0086420C"/>
    <w:rsid w:val="008913D4"/>
    <w:rsid w:val="00893C64"/>
    <w:rsid w:val="008A4966"/>
    <w:rsid w:val="008B2ABE"/>
    <w:rsid w:val="008D6E9F"/>
    <w:rsid w:val="008E41F1"/>
    <w:rsid w:val="008F4643"/>
    <w:rsid w:val="0090569C"/>
    <w:rsid w:val="009429E6"/>
    <w:rsid w:val="00974A92"/>
    <w:rsid w:val="009924E5"/>
    <w:rsid w:val="009A52F5"/>
    <w:rsid w:val="00AB3E61"/>
    <w:rsid w:val="00AC1AAA"/>
    <w:rsid w:val="00B01DCC"/>
    <w:rsid w:val="00B756BD"/>
    <w:rsid w:val="00B83DC1"/>
    <w:rsid w:val="00B94661"/>
    <w:rsid w:val="00BB4EB7"/>
    <w:rsid w:val="00BD0816"/>
    <w:rsid w:val="00BD4A65"/>
    <w:rsid w:val="00BE6544"/>
    <w:rsid w:val="00C071FA"/>
    <w:rsid w:val="00C1092C"/>
    <w:rsid w:val="00C2282A"/>
    <w:rsid w:val="00C86476"/>
    <w:rsid w:val="00CB36E6"/>
    <w:rsid w:val="00CC294F"/>
    <w:rsid w:val="00CF32CD"/>
    <w:rsid w:val="00D0118F"/>
    <w:rsid w:val="00D05981"/>
    <w:rsid w:val="00D1318B"/>
    <w:rsid w:val="00D324C9"/>
    <w:rsid w:val="00D3360C"/>
    <w:rsid w:val="00D417CE"/>
    <w:rsid w:val="00D60EF8"/>
    <w:rsid w:val="00D61BD9"/>
    <w:rsid w:val="00D75D76"/>
    <w:rsid w:val="00DA5952"/>
    <w:rsid w:val="00DB63F2"/>
    <w:rsid w:val="00DC5B0D"/>
    <w:rsid w:val="00DE7077"/>
    <w:rsid w:val="00E0268A"/>
    <w:rsid w:val="00E72EEA"/>
    <w:rsid w:val="00E90425"/>
    <w:rsid w:val="00E94ED1"/>
    <w:rsid w:val="00EC5C41"/>
    <w:rsid w:val="00ED1644"/>
    <w:rsid w:val="00F35257"/>
    <w:rsid w:val="00F533E9"/>
    <w:rsid w:val="00F67169"/>
    <w:rsid w:val="00F70FD4"/>
    <w:rsid w:val="00F8220E"/>
    <w:rsid w:val="00F87722"/>
    <w:rsid w:val="00F928A2"/>
    <w:rsid w:val="00FC75CB"/>
    <w:rsid w:val="00FE4B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D1318B"/>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AC1AA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autoSpaceDE w:val="0"/>
      <w:autoSpaceDN w:val="0"/>
      <w:spacing w:after="0" w:line="240" w:lineRule="auto"/>
    </w:pPr>
    <w:rPr>
      <w:rFonts w:ascii="Times New Roman" w:hAnsi="Times New Roman"/>
      <w:sz w:val="20"/>
      <w:szCs w:val="20"/>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locked/>
    <w:rPr>
      <w:rFonts w:ascii="Times New Roman" w:hAnsi="Times New Roman" w:cs="Times New Roman"/>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locked/>
    <w:rPr>
      <w:rFonts w:ascii="Times New Roman" w:hAnsi="Times New Roman" w:cs="Times New Roman"/>
      <w:sz w:val="20"/>
      <w:szCs w:val="20"/>
    </w:rPr>
  </w:style>
  <w:style w:type="character" w:styleId="a7">
    <w:name w:val="Hyperlink"/>
    <w:basedOn w:val="a0"/>
    <w:uiPriority w:val="99"/>
    <w:unhideWhenUsed/>
    <w:rsid w:val="00D05981"/>
    <w:rPr>
      <w:rFonts w:cs="Times New Roman"/>
      <w:color w:val="0000FF" w:themeColor="hyperlink"/>
      <w:u w:val="single"/>
    </w:rPr>
  </w:style>
  <w:style w:type="paragraph" w:customStyle="1" w:styleId="ConsPlusNormal">
    <w:name w:val="ConsPlusNormal"/>
    <w:rsid w:val="00D1318B"/>
    <w:pPr>
      <w:widowControl w:val="0"/>
      <w:autoSpaceDE w:val="0"/>
      <w:autoSpaceDN w:val="0"/>
      <w:spacing w:after="0" w:line="240" w:lineRule="auto"/>
    </w:pPr>
    <w:rPr>
      <w:rFonts w:ascii="Calibri" w:hAnsi="Calibri" w:cs="Calibri"/>
      <w:szCs w:val="20"/>
    </w:rPr>
  </w:style>
  <w:style w:type="character" w:customStyle="1" w:styleId="apple-converted-space">
    <w:name w:val="apple-converted-space"/>
    <w:rsid w:val="00AC1A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isclosure.ru/portal/company.aspx?id=1849"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im-st.com/okom.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751</Words>
  <Characters>4285</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5026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КонсультантПлюс</dc:creator>
  <cp:lastModifiedBy>Погорельцев Игорь Владимирович</cp:lastModifiedBy>
  <cp:revision>2</cp:revision>
  <cp:lastPrinted>2011-12-08T11:40:00Z</cp:lastPrinted>
  <dcterms:created xsi:type="dcterms:W3CDTF">2017-06-13T06:30:00Z</dcterms:created>
  <dcterms:modified xsi:type="dcterms:W3CDTF">2017-06-13T06:30:00Z</dcterms:modified>
</cp:coreProperties>
</file>